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0645D" w14:textId="77777777" w:rsidR="005E18A0" w:rsidRDefault="005E18A0" w:rsidP="005E18A0">
      <w:bookmarkStart w:id="0" w:name="_Hlk61000400"/>
    </w:p>
    <w:p w14:paraId="20A7317B" w14:textId="0C257C95" w:rsidR="005E18A0" w:rsidRPr="00FF001B" w:rsidRDefault="005E18A0" w:rsidP="005E18A0">
      <w:pPr>
        <w:rPr>
          <w:rFonts w:ascii="Calibri,Bold" w:hAnsi="Calibri,Bold"/>
          <w:b/>
          <w:bCs/>
          <w:color w:val="4984E8"/>
          <w:sz w:val="38"/>
        </w:rPr>
      </w:pPr>
      <w:r>
        <w:rPr>
          <w:noProof/>
        </w:rPr>
        <w:drawing>
          <wp:inline distT="0" distB="0" distL="0" distR="0" wp14:anchorId="066F2457" wp14:editId="382A886A">
            <wp:extent cx="1733550" cy="703742"/>
            <wp:effectExtent l="0" t="0" r="0" b="1270"/>
            <wp:docPr id="1395091712" name="Picture 1" descr="Wireless Inclusive RERC| Georgia Institute of Technology | Atlanta, 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1863678" cy="756568"/>
                    </a:xfrm>
                    <a:prstGeom prst="rect">
                      <a:avLst/>
                    </a:prstGeom>
                  </pic:spPr>
                </pic:pic>
              </a:graphicData>
            </a:graphic>
          </wp:inline>
        </w:drawing>
      </w:r>
      <w:r>
        <w:tab/>
      </w:r>
      <w:r>
        <w:tab/>
      </w:r>
      <w:r>
        <w:tab/>
      </w:r>
      <w:r>
        <w:tab/>
      </w:r>
      <w:r>
        <w:rPr>
          <w:rFonts w:ascii="Calibri,Bold" w:hAnsi="Calibri,Bold"/>
          <w:b/>
          <w:bCs/>
          <w:color w:val="4984E8"/>
          <w:sz w:val="48"/>
          <w:szCs w:val="32"/>
        </w:rPr>
        <w:t>Research</w:t>
      </w:r>
      <w:r w:rsidRPr="00FF001B">
        <w:rPr>
          <w:rFonts w:ascii="Calibri,Bold" w:hAnsi="Calibri,Bold"/>
          <w:b/>
          <w:bCs/>
          <w:color w:val="4984E8"/>
          <w:sz w:val="48"/>
          <w:szCs w:val="32"/>
        </w:rPr>
        <w:t xml:space="preserve"> Brief </w:t>
      </w:r>
    </w:p>
    <w:p w14:paraId="0EC62A69" w14:textId="77777777" w:rsidR="005E18A0" w:rsidRPr="005E18A0" w:rsidRDefault="005E18A0" w:rsidP="005E18A0">
      <w:pPr>
        <w:pStyle w:val="NormalWeb"/>
        <w:pBdr>
          <w:bottom w:val="single" w:sz="12" w:space="1" w:color="auto"/>
        </w:pBdr>
        <w:spacing w:before="0" w:beforeAutospacing="0" w:after="0" w:afterAutospacing="0"/>
        <w:jc w:val="center"/>
        <w:rPr>
          <w:rFonts w:asciiTheme="minorHAnsi" w:eastAsiaTheme="majorEastAsia" w:hAnsiTheme="minorHAnsi" w:cstheme="minorHAnsi"/>
          <w:bCs/>
          <w:spacing w:val="-10"/>
          <w:kern w:val="28"/>
          <w:sz w:val="40"/>
          <w:szCs w:val="56"/>
        </w:rPr>
      </w:pPr>
      <w:r w:rsidRPr="005E18A0">
        <w:rPr>
          <w:rFonts w:asciiTheme="minorHAnsi" w:eastAsiaTheme="majorEastAsia" w:hAnsiTheme="minorHAnsi" w:cstheme="minorHAnsi"/>
          <w:bCs/>
          <w:spacing w:val="-10"/>
          <w:kern w:val="28"/>
          <w:sz w:val="40"/>
          <w:szCs w:val="56"/>
        </w:rPr>
        <w:t xml:space="preserve">The WEA Video Platform:  Emergency Alerts in Many Formats Allow Access for All </w:t>
      </w:r>
    </w:p>
    <w:p w14:paraId="662DCF1B" w14:textId="3E80BC9F" w:rsidR="005E18A0" w:rsidRPr="00662EF3" w:rsidRDefault="005E18A0" w:rsidP="005E18A0">
      <w:pPr>
        <w:pStyle w:val="NormalWeb"/>
        <w:pBdr>
          <w:bottom w:val="single" w:sz="12" w:space="1" w:color="auto"/>
        </w:pBdr>
        <w:tabs>
          <w:tab w:val="left" w:pos="193"/>
          <w:tab w:val="center" w:pos="5040"/>
        </w:tabs>
        <w:spacing w:before="0" w:after="0"/>
        <w:jc w:val="center"/>
        <w:rPr>
          <w:rStyle w:val="SubtitleChar"/>
          <w:rFonts w:asciiTheme="minorHAnsi" w:hAnsiTheme="minorHAnsi" w:cstheme="minorBidi"/>
          <w:b/>
          <w:color w:val="002060"/>
        </w:rPr>
      </w:pPr>
      <w:r w:rsidRPr="00662EF3">
        <w:rPr>
          <w:rFonts w:asciiTheme="minorHAnsi" w:eastAsiaTheme="minorEastAsia" w:hAnsiTheme="minorHAnsi" w:cstheme="minorBidi"/>
          <w:b/>
          <w:color w:val="002060"/>
          <w:spacing w:val="15"/>
          <w:sz w:val="22"/>
          <w:szCs w:val="22"/>
        </w:rPr>
        <w:t xml:space="preserve">Volume </w:t>
      </w:r>
      <w:r>
        <w:rPr>
          <w:rFonts w:asciiTheme="minorHAnsi" w:eastAsiaTheme="minorEastAsia" w:hAnsiTheme="minorHAnsi" w:cstheme="minorBidi"/>
          <w:b/>
          <w:color w:val="002060"/>
          <w:spacing w:val="15"/>
          <w:sz w:val="22"/>
          <w:szCs w:val="22"/>
        </w:rPr>
        <w:t>2022</w:t>
      </w:r>
      <w:r w:rsidRPr="00662EF3">
        <w:rPr>
          <w:rFonts w:asciiTheme="minorHAnsi" w:eastAsiaTheme="minorEastAsia" w:hAnsiTheme="minorHAnsi" w:cstheme="minorBidi"/>
          <w:b/>
          <w:color w:val="002060"/>
          <w:spacing w:val="15"/>
          <w:sz w:val="22"/>
          <w:szCs w:val="22"/>
        </w:rPr>
        <w:t xml:space="preserve">, </w:t>
      </w:r>
      <w:r>
        <w:rPr>
          <w:rFonts w:asciiTheme="minorHAnsi" w:eastAsiaTheme="minorEastAsia" w:hAnsiTheme="minorHAnsi" w:cstheme="minorBidi"/>
          <w:b/>
          <w:color w:val="002060"/>
          <w:spacing w:val="15"/>
          <w:sz w:val="22"/>
          <w:szCs w:val="22"/>
        </w:rPr>
        <w:t>22</w:t>
      </w:r>
      <w:r w:rsidRPr="00662EF3">
        <w:rPr>
          <w:rFonts w:asciiTheme="minorHAnsi" w:eastAsiaTheme="minorEastAsia" w:hAnsiTheme="minorHAnsi" w:cstheme="minorBidi"/>
          <w:b/>
          <w:color w:val="002060"/>
          <w:spacing w:val="15"/>
          <w:sz w:val="22"/>
          <w:szCs w:val="22"/>
        </w:rPr>
        <w:t>-0</w:t>
      </w:r>
      <w:r w:rsidR="004D7A77">
        <w:rPr>
          <w:rFonts w:asciiTheme="minorHAnsi" w:eastAsiaTheme="minorEastAsia" w:hAnsiTheme="minorHAnsi" w:cstheme="minorBidi"/>
          <w:b/>
          <w:color w:val="002060"/>
          <w:spacing w:val="15"/>
          <w:sz w:val="22"/>
          <w:szCs w:val="22"/>
        </w:rPr>
        <w:t>3</w:t>
      </w:r>
      <w:r w:rsidRPr="00662EF3">
        <w:rPr>
          <w:rFonts w:asciiTheme="minorHAnsi" w:eastAsiaTheme="minorEastAsia" w:hAnsiTheme="minorHAnsi" w:cstheme="minorBidi"/>
          <w:b/>
          <w:color w:val="002060"/>
          <w:spacing w:val="15"/>
          <w:sz w:val="22"/>
          <w:szCs w:val="22"/>
        </w:rPr>
        <w:t xml:space="preserve"> – </w:t>
      </w:r>
      <w:r w:rsidR="004D7A77">
        <w:rPr>
          <w:rFonts w:asciiTheme="minorHAnsi" w:eastAsiaTheme="minorEastAsia" w:hAnsiTheme="minorHAnsi" w:cstheme="minorBidi"/>
          <w:b/>
          <w:color w:val="002060"/>
          <w:spacing w:val="15"/>
          <w:sz w:val="22"/>
          <w:szCs w:val="22"/>
        </w:rPr>
        <w:t>September</w:t>
      </w:r>
      <w:r w:rsidRPr="00662EF3">
        <w:rPr>
          <w:rFonts w:asciiTheme="minorHAnsi" w:eastAsiaTheme="minorEastAsia" w:hAnsiTheme="minorHAnsi" w:cstheme="minorBidi"/>
          <w:b/>
          <w:color w:val="002060"/>
          <w:spacing w:val="15"/>
          <w:sz w:val="22"/>
          <w:szCs w:val="22"/>
        </w:rPr>
        <w:t xml:space="preserve"> 202</w:t>
      </w:r>
      <w:r>
        <w:rPr>
          <w:rFonts w:asciiTheme="minorHAnsi" w:eastAsiaTheme="minorEastAsia" w:hAnsiTheme="minorHAnsi" w:cstheme="minorBidi"/>
          <w:b/>
          <w:color w:val="002060"/>
          <w:spacing w:val="15"/>
          <w:sz w:val="22"/>
          <w:szCs w:val="22"/>
        </w:rPr>
        <w:t>2</w:t>
      </w:r>
    </w:p>
    <w:bookmarkEnd w:id="0"/>
    <w:p w14:paraId="6DC48E99" w14:textId="35F7D338" w:rsidR="000A4E5E" w:rsidRPr="005434DF" w:rsidRDefault="000A4E5E" w:rsidP="005434DF">
      <w:pPr>
        <w:pStyle w:val="Heading1"/>
        <w:keepLines/>
        <w:spacing w:before="240" w:after="0" w:line="240" w:lineRule="auto"/>
        <w:ind w:right="0"/>
        <w:contextualSpacing w:val="0"/>
        <w:rPr>
          <w:rFonts w:asciiTheme="minorHAnsi" w:eastAsiaTheme="majorEastAsia" w:hAnsiTheme="minorHAnsi" w:cstheme="minorHAnsi"/>
          <w:bCs w:val="0"/>
          <w:kern w:val="0"/>
          <w:sz w:val="28"/>
          <w:szCs w:val="24"/>
          <w:lang w:val="en-US" w:eastAsia="en-US"/>
        </w:rPr>
      </w:pPr>
      <w:r w:rsidRPr="005434DF">
        <w:rPr>
          <w:rFonts w:asciiTheme="minorHAnsi" w:eastAsiaTheme="majorEastAsia" w:hAnsiTheme="minorHAnsi" w:cstheme="minorHAnsi"/>
          <w:bCs w:val="0"/>
          <w:kern w:val="0"/>
          <w:sz w:val="28"/>
          <w:szCs w:val="24"/>
          <w:lang w:val="en-US" w:eastAsia="en-US"/>
        </w:rPr>
        <w:t>Introduction</w:t>
      </w:r>
    </w:p>
    <w:p w14:paraId="7837B7DC" w14:textId="6BEA0F12" w:rsidR="00D9741F" w:rsidRPr="001A33AC" w:rsidRDefault="00EC2A86" w:rsidP="001A33AC">
      <w:pPr>
        <w:spacing w:after="120" w:line="276" w:lineRule="auto"/>
        <w:jc w:val="both"/>
        <w:rPr>
          <w:rFonts w:asciiTheme="minorHAnsi" w:eastAsiaTheme="minorHAnsi" w:hAnsiTheme="minorHAnsi" w:cstheme="minorBidi"/>
          <w:lang w:val="en-US" w:eastAsia="en-US"/>
        </w:rPr>
      </w:pPr>
      <w:r w:rsidRPr="001A33AC">
        <w:rPr>
          <w:rFonts w:asciiTheme="minorHAnsi" w:eastAsiaTheme="minorHAnsi" w:hAnsiTheme="minorHAnsi" w:cstheme="minorBidi"/>
          <w:lang w:val="en-US" w:eastAsia="en-US"/>
        </w:rPr>
        <w:t xml:space="preserve">People with disabilities, an estimated </w:t>
      </w:r>
      <w:r w:rsidR="00FD6960" w:rsidRPr="001A33AC">
        <w:rPr>
          <w:rFonts w:asciiTheme="minorHAnsi" w:eastAsiaTheme="minorHAnsi" w:hAnsiTheme="minorHAnsi" w:cstheme="minorBidi"/>
          <w:lang w:val="en-US" w:eastAsia="en-US"/>
        </w:rPr>
        <w:t>26</w:t>
      </w:r>
      <w:r w:rsidRPr="001A33AC">
        <w:rPr>
          <w:rFonts w:asciiTheme="minorHAnsi" w:eastAsiaTheme="minorHAnsi" w:hAnsiTheme="minorHAnsi" w:cstheme="minorBidi"/>
          <w:lang w:val="en-US" w:eastAsia="en-US"/>
        </w:rPr>
        <w:t>% of the United States population</w:t>
      </w:r>
      <w:r w:rsidR="004537CB" w:rsidRPr="001A33AC">
        <w:rPr>
          <w:rFonts w:asciiTheme="minorHAnsi" w:eastAsiaTheme="minorHAnsi" w:hAnsiTheme="minorHAnsi" w:cstheme="minorBidi"/>
          <w:lang w:val="en-US" w:eastAsia="en-US"/>
        </w:rPr>
        <w:t>, or 61 million people</w:t>
      </w:r>
      <w:r w:rsidRPr="001A33AC">
        <w:rPr>
          <w:rFonts w:asciiTheme="minorHAnsi" w:eastAsiaTheme="minorHAnsi" w:hAnsiTheme="minorHAnsi" w:cstheme="minorBidi"/>
          <w:lang w:val="en-US" w:eastAsia="en-US"/>
        </w:rPr>
        <w:t xml:space="preserve"> </w:t>
      </w:r>
      <w:r w:rsidRPr="001A33AC">
        <w:rPr>
          <w:rFonts w:asciiTheme="minorHAnsi" w:eastAsiaTheme="minorHAnsi" w:hAnsiTheme="minorHAnsi" w:cstheme="minorBidi"/>
          <w:lang w:val="en-US" w:eastAsia="en-US"/>
        </w:rPr>
        <w:fldChar w:fldCharType="begin"/>
      </w:r>
      <w:r w:rsidR="00AC15DC" w:rsidRPr="001A33AC">
        <w:rPr>
          <w:rFonts w:asciiTheme="minorHAnsi" w:eastAsiaTheme="minorHAnsi" w:hAnsiTheme="minorHAnsi" w:cstheme="minorBidi"/>
          <w:lang w:val="en-US" w:eastAsia="en-US"/>
        </w:rPr>
        <w:instrText xml:space="preserve"> ADDIN EN.CITE &lt;EndNote&gt;&lt;Cite&gt;&lt;Author&gt;National Center on Birth Defects and Disabilities - Centers for Disease Control and Prevention&lt;/Author&gt;&lt;Year&gt;2020&lt;/Year&gt;&lt;RecNum&gt;1401&lt;/RecNum&gt;&lt;DisplayText&gt;(National Center on Birth Defects and Disabilities - Centers for Disease Control and Prevention, 2020)&lt;/DisplayText&gt;&lt;record&gt;&lt;rec-number&gt;1401&lt;/rec-number&gt;&lt;foreign-keys&gt;&lt;key app="EN" db-id="rexdsvwd75fxr6ewxpcxfa0nra99fewv2awe" timestamp="1610393279"&gt;1401&lt;/key&gt;&lt;/foreign-keys&gt;&lt;ref-type name="Web Page"&gt;12&lt;/ref-type&gt;&lt;contributors&gt;&lt;authors&gt;&lt;author&gt;National Center on Birth Defects and Disabilities - Centers for Disease Control and Prevention, &lt;/author&gt;&lt;/authors&gt;&lt;/contributors&gt;&lt;titles&gt;&lt;title&gt;Disability Impacts All of Us&lt;/title&gt;&lt;/titles&gt;&lt;dates&gt;&lt;year&gt;2020&lt;/year&gt;&lt;/dates&gt;&lt;pub-location&gt;Atlanta GA&lt;/pub-location&gt;&lt;publisher&gt;Centers for Disease Control and Prevention&lt;/publisher&gt;&lt;urls&gt;&lt;related-urls&gt;&lt;url&gt;https://www.cdc.gov/ncbddd/disabilityandhealth/infographic-disability-impacts-all.html#:~:text=61%20million%20adults%20in%20the,is%20highest%20in%20the%20South.&lt;/url&gt;&lt;/related-urls&gt;&lt;/urls&gt;&lt;custom1&gt;2021&lt;/custom1&gt;&lt;custom2&gt;January 11, 2021&lt;/custom2&gt;&lt;/record&gt;&lt;/Cite&gt;&lt;/EndNote&gt;</w:instrText>
      </w:r>
      <w:r w:rsidRPr="001A33AC">
        <w:rPr>
          <w:rFonts w:asciiTheme="minorHAnsi" w:eastAsiaTheme="minorHAnsi" w:hAnsiTheme="minorHAnsi" w:cstheme="minorBidi"/>
          <w:lang w:val="en-US" w:eastAsia="en-US"/>
        </w:rPr>
        <w:fldChar w:fldCharType="separate"/>
      </w:r>
      <w:r w:rsidR="00AC15DC" w:rsidRPr="001A33AC">
        <w:rPr>
          <w:rFonts w:asciiTheme="minorHAnsi" w:eastAsiaTheme="minorHAnsi" w:hAnsiTheme="minorHAnsi" w:cstheme="minorBidi"/>
          <w:lang w:val="en-US" w:eastAsia="en-US"/>
        </w:rPr>
        <w:t>(National Center on Birth Defects and Disabilities - Centers for Disease Control and Prevention, 2020)</w:t>
      </w:r>
      <w:r w:rsidRPr="001A33AC">
        <w:rPr>
          <w:rFonts w:asciiTheme="minorHAnsi" w:eastAsiaTheme="minorHAnsi" w:hAnsiTheme="minorHAnsi" w:cstheme="minorBidi"/>
          <w:lang w:val="en-US" w:eastAsia="en-US"/>
        </w:rPr>
        <w:fldChar w:fldCharType="end"/>
      </w:r>
      <w:r w:rsidRPr="001A33AC">
        <w:rPr>
          <w:rFonts w:asciiTheme="minorHAnsi" w:eastAsiaTheme="minorHAnsi" w:hAnsiTheme="minorHAnsi" w:cstheme="minorBidi"/>
          <w:lang w:val="en-US" w:eastAsia="en-US"/>
        </w:rPr>
        <w:t>, are more seriously impacted during disasters</w:t>
      </w:r>
      <w:r w:rsidR="00305F41" w:rsidRPr="001A33AC">
        <w:rPr>
          <w:rFonts w:asciiTheme="minorHAnsi" w:eastAsiaTheme="minorHAnsi" w:hAnsiTheme="minorHAnsi" w:cstheme="minorBidi"/>
          <w:lang w:val="en-US" w:eastAsia="en-US"/>
        </w:rPr>
        <w:t>.</w:t>
      </w:r>
      <w:r w:rsidRPr="001A33AC">
        <w:rPr>
          <w:rFonts w:asciiTheme="minorHAnsi" w:eastAsiaTheme="minorHAnsi" w:hAnsiTheme="minorHAnsi" w:cstheme="minorBidi"/>
          <w:lang w:val="en-US" w:eastAsia="en-US"/>
        </w:rPr>
        <w:t xml:space="preserve"> </w:t>
      </w:r>
      <w:r w:rsidR="00DD43AE" w:rsidRPr="001A33AC">
        <w:rPr>
          <w:rFonts w:asciiTheme="minorHAnsi" w:eastAsiaTheme="minorHAnsi" w:hAnsiTheme="minorHAnsi" w:cstheme="minorBidi"/>
          <w:lang w:val="en-US" w:eastAsia="en-US"/>
        </w:rPr>
        <w:t>P</w:t>
      </w:r>
      <w:r w:rsidRPr="001A33AC">
        <w:rPr>
          <w:rFonts w:asciiTheme="minorHAnsi" w:eastAsiaTheme="minorHAnsi" w:hAnsiTheme="minorHAnsi" w:cstheme="minorBidi"/>
          <w:lang w:val="en-US" w:eastAsia="en-US"/>
        </w:rPr>
        <w:t xml:space="preserve">eople with disabilities experience barriers to communication that </w:t>
      </w:r>
      <w:r w:rsidR="00B572C5" w:rsidRPr="001A33AC">
        <w:rPr>
          <w:rFonts w:asciiTheme="minorHAnsi" w:eastAsiaTheme="minorHAnsi" w:hAnsiTheme="minorHAnsi" w:cstheme="minorBidi"/>
          <w:lang w:val="en-US" w:eastAsia="en-US"/>
        </w:rPr>
        <w:t>impede</w:t>
      </w:r>
      <w:r w:rsidRPr="001A33AC">
        <w:rPr>
          <w:rFonts w:asciiTheme="minorHAnsi" w:eastAsiaTheme="minorHAnsi" w:hAnsiTheme="minorHAnsi" w:cstheme="minorBidi"/>
          <w:lang w:val="en-US" w:eastAsia="en-US"/>
        </w:rPr>
        <w:t xml:space="preserve"> </w:t>
      </w:r>
      <w:r w:rsidR="00AF51EB" w:rsidRPr="001A33AC">
        <w:rPr>
          <w:rFonts w:asciiTheme="minorHAnsi" w:eastAsiaTheme="minorHAnsi" w:hAnsiTheme="minorHAnsi" w:cstheme="minorBidi"/>
          <w:lang w:val="en-US" w:eastAsia="en-US"/>
        </w:rPr>
        <w:t xml:space="preserve">access to information </w:t>
      </w:r>
      <w:r w:rsidRPr="001A33AC">
        <w:rPr>
          <w:rFonts w:asciiTheme="minorHAnsi" w:eastAsiaTheme="minorHAnsi" w:hAnsiTheme="minorHAnsi" w:cstheme="minorBidi"/>
          <w:lang w:val="en-US" w:eastAsia="en-US"/>
        </w:rPr>
        <w:t>about impending emergencies and communicat</w:t>
      </w:r>
      <w:r w:rsidR="00AF51EB" w:rsidRPr="001A33AC">
        <w:rPr>
          <w:rFonts w:asciiTheme="minorHAnsi" w:eastAsiaTheme="minorHAnsi" w:hAnsiTheme="minorHAnsi" w:cstheme="minorBidi"/>
          <w:lang w:val="en-US" w:eastAsia="en-US"/>
        </w:rPr>
        <w:t>ions</w:t>
      </w:r>
      <w:r w:rsidRPr="001A33AC">
        <w:rPr>
          <w:rFonts w:asciiTheme="minorHAnsi" w:eastAsiaTheme="minorHAnsi" w:hAnsiTheme="minorHAnsi" w:cstheme="minorBidi"/>
          <w:lang w:val="en-US" w:eastAsia="en-US"/>
        </w:rPr>
        <w:t xml:space="preserve"> with first responders in the immediate aftermath of an emergency </w:t>
      </w:r>
      <w:r w:rsidRPr="001A33AC">
        <w:rPr>
          <w:rFonts w:asciiTheme="minorHAnsi" w:eastAsiaTheme="minorHAnsi" w:hAnsiTheme="minorHAnsi" w:cstheme="minorBidi"/>
          <w:lang w:val="en-US" w:eastAsia="en-US"/>
        </w:rPr>
        <w:fldChar w:fldCharType="begin"/>
      </w:r>
      <w:r w:rsidR="00AC15DC" w:rsidRPr="001A33AC">
        <w:rPr>
          <w:rFonts w:asciiTheme="minorHAnsi" w:eastAsiaTheme="minorHAnsi" w:hAnsiTheme="minorHAnsi" w:cstheme="minorBidi"/>
          <w:lang w:val="en-US" w:eastAsia="en-US"/>
        </w:rPr>
        <w:instrText xml:space="preserve"> ADDIN EN.CITE &lt;EndNote&gt;&lt;Cite&gt;&lt;Author&gt;Federal Emergency Management Agency&lt;/Author&gt;&lt;Year&gt;2004&lt;/Year&gt;&lt;RecNum&gt;6&lt;/RecNum&gt;&lt;DisplayText&gt;(Federal Emergency Management Agency, 2004, 2015)&lt;/DisplayText&gt;&lt;record&gt;&lt;rec-number&gt;6&lt;/rec-number&gt;&lt;foreign-keys&gt;&lt;key app="EN" db-id="zdtsftw04dafauepdrtvppfa55x002xfw95d" timestamp="1522824727"&gt;6&lt;/key&gt;&lt;/foreign-keys&gt;&lt;ref-type name="Web Page"&gt;12&lt;/ref-type&gt;&lt;contributors&gt;&lt;authors&gt;&lt;author&gt;Federal Emergency Management Agency,&lt;/author&gt;&lt;/authors&gt;&lt;/contributors&gt;&lt;titles&gt;&lt;title&gt;Preparing for Disaster for People with Disabilities and other Special Needs&lt;/title&gt;&lt;/titles&gt;&lt;volume&gt;2018&lt;/volume&gt;&lt;number&gt;April 3&lt;/number&gt;&lt;dates&gt;&lt;year&gt;2004&lt;/year&gt;&lt;/dates&gt;&lt;urls&gt;&lt;related-urls&gt;&lt;url&gt;https://www.fema.gov/media-library/assets/documents/897&lt;/url&gt;&lt;/related-urls&gt;&lt;/urls&gt;&lt;/record&gt;&lt;/Cite&gt;&lt;Cite&gt;&lt;Author&gt;Federal Emergency Management Agency&lt;/Author&gt;&lt;Year&gt;2015&lt;/Year&gt;&lt;RecNum&gt;7&lt;/RecNum&gt;&lt;record&gt;&lt;rec-number&gt;7&lt;/rec-number&gt;&lt;foreign-keys&gt;&lt;key app="EN" db-id="zdtsftw04dafauepdrtvppfa55x002xfw95d" timestamp="1522824956"&gt;7&lt;/key&gt;&lt;/foreign-keys&gt;&lt;ref-type name="Web Page"&gt;12&lt;/ref-type&gt;&lt;contributors&gt;&lt;authors&gt;&lt;author&gt;Federal Emergency Management Agency,&lt;/author&gt;&lt;/authors&gt;&lt;/contributors&gt;&lt;titles&gt;&lt;title&gt;Preparing Makes Sense for People with Disabilities Brochure&lt;/title&gt;&lt;/titles&gt;&lt;volume&gt;2018&lt;/volume&gt;&lt;number&gt;April 3&lt;/number&gt;&lt;dates&gt;&lt;year&gt;2015&lt;/year&gt;&lt;/dates&gt;&lt;urls&gt;&lt;related-urls&gt;&lt;url&gt;https://www.fema.gov/media-library/assets/documents/90360&lt;/url&gt;&lt;/related-urls&gt;&lt;/urls&gt;&lt;/record&gt;&lt;/Cite&gt;&lt;/EndNote&gt;</w:instrText>
      </w:r>
      <w:r w:rsidRPr="001A33AC">
        <w:rPr>
          <w:rFonts w:asciiTheme="minorHAnsi" w:eastAsiaTheme="minorHAnsi" w:hAnsiTheme="minorHAnsi" w:cstheme="minorBidi"/>
          <w:lang w:val="en-US" w:eastAsia="en-US"/>
        </w:rPr>
        <w:fldChar w:fldCharType="separate"/>
      </w:r>
      <w:r w:rsidR="00AC15DC" w:rsidRPr="001A33AC">
        <w:rPr>
          <w:rFonts w:asciiTheme="minorHAnsi" w:eastAsiaTheme="minorHAnsi" w:hAnsiTheme="minorHAnsi" w:cstheme="minorBidi"/>
          <w:lang w:val="en-US" w:eastAsia="en-US"/>
        </w:rPr>
        <w:t>(Federal Emergency Management Agency, 2004, 2015)</w:t>
      </w:r>
      <w:r w:rsidRPr="001A33AC">
        <w:rPr>
          <w:rFonts w:asciiTheme="minorHAnsi" w:eastAsiaTheme="minorHAnsi" w:hAnsiTheme="minorHAnsi" w:cstheme="minorBidi"/>
          <w:lang w:val="en-US" w:eastAsia="en-US"/>
        </w:rPr>
        <w:fldChar w:fldCharType="end"/>
      </w:r>
      <w:r w:rsidR="004537CB" w:rsidRPr="001A33AC">
        <w:rPr>
          <w:rFonts w:asciiTheme="minorHAnsi" w:eastAsiaTheme="minorHAnsi" w:hAnsiTheme="minorHAnsi" w:cstheme="minorBidi"/>
          <w:lang w:val="en-US" w:eastAsia="en-US"/>
        </w:rPr>
        <w:t xml:space="preserve">.  </w:t>
      </w:r>
      <w:r w:rsidR="00266D3B" w:rsidRPr="001A33AC">
        <w:rPr>
          <w:rFonts w:asciiTheme="minorHAnsi" w:eastAsiaTheme="minorHAnsi" w:hAnsiTheme="minorHAnsi" w:cstheme="minorBidi"/>
          <w:lang w:val="en-US" w:eastAsia="en-US"/>
        </w:rPr>
        <w:t xml:space="preserve"> </w:t>
      </w:r>
      <w:r w:rsidR="007F61FD" w:rsidRPr="001A33AC">
        <w:rPr>
          <w:rFonts w:asciiTheme="minorHAnsi" w:eastAsiaTheme="minorHAnsi" w:hAnsiTheme="minorHAnsi" w:cstheme="minorBidi"/>
          <w:lang w:val="en-US" w:eastAsia="en-US"/>
        </w:rPr>
        <w:t xml:space="preserve">Federal law mandates emergency communications to be inclusive of people with disabilities. </w:t>
      </w:r>
      <w:r w:rsidR="00003083" w:rsidRPr="001A33AC">
        <w:rPr>
          <w:rFonts w:asciiTheme="minorHAnsi" w:eastAsiaTheme="minorHAnsi" w:hAnsiTheme="minorHAnsi" w:cstheme="minorBidi"/>
          <w:lang w:val="en-US" w:eastAsia="en-US"/>
        </w:rPr>
        <w:t>Among its other accessibility provisions, t</w:t>
      </w:r>
      <w:r w:rsidR="00266D3B" w:rsidRPr="001A33AC">
        <w:rPr>
          <w:rFonts w:asciiTheme="minorHAnsi" w:eastAsiaTheme="minorHAnsi" w:hAnsiTheme="minorHAnsi" w:cstheme="minorBidi"/>
          <w:lang w:val="en-US" w:eastAsia="en-US"/>
        </w:rPr>
        <w:t xml:space="preserve">he </w:t>
      </w:r>
      <w:r w:rsidR="00003083" w:rsidRPr="001A33AC">
        <w:rPr>
          <w:rFonts w:asciiTheme="minorHAnsi" w:eastAsiaTheme="minorHAnsi" w:hAnsiTheme="minorHAnsi" w:cstheme="minorBidi"/>
          <w:lang w:val="en-US" w:eastAsia="en-US"/>
        </w:rPr>
        <w:t xml:space="preserve">Twenty-first Century Communications and Video Accessibility Act (CVAA) </w:t>
      </w:r>
      <w:r w:rsidR="007D5BCD" w:rsidRPr="001A33AC">
        <w:rPr>
          <w:rFonts w:asciiTheme="minorHAnsi" w:eastAsiaTheme="minorHAnsi" w:hAnsiTheme="minorHAnsi" w:cstheme="minorBidi"/>
          <w:lang w:val="en-US" w:eastAsia="en-US"/>
        </w:rPr>
        <w:t xml:space="preserve">required </w:t>
      </w:r>
      <w:r w:rsidR="001A308C" w:rsidRPr="001A33AC">
        <w:rPr>
          <w:rFonts w:asciiTheme="minorHAnsi" w:eastAsiaTheme="minorHAnsi" w:hAnsiTheme="minorHAnsi" w:cstheme="minorBidi"/>
          <w:lang w:val="en-US" w:eastAsia="en-US"/>
        </w:rPr>
        <w:t xml:space="preserve">an advisory committee </w:t>
      </w:r>
      <w:r w:rsidR="007D5BCD" w:rsidRPr="001A33AC">
        <w:rPr>
          <w:rFonts w:asciiTheme="minorHAnsi" w:eastAsiaTheme="minorHAnsi" w:hAnsiTheme="minorHAnsi" w:cstheme="minorBidi"/>
          <w:lang w:val="en-US" w:eastAsia="en-US"/>
        </w:rPr>
        <w:t xml:space="preserve">to be established </w:t>
      </w:r>
      <w:r w:rsidR="001A308C" w:rsidRPr="001A33AC">
        <w:rPr>
          <w:rFonts w:asciiTheme="minorHAnsi" w:eastAsiaTheme="minorHAnsi" w:hAnsiTheme="minorHAnsi" w:cstheme="minorBidi"/>
          <w:lang w:val="en-US" w:eastAsia="en-US"/>
        </w:rPr>
        <w:t xml:space="preserve">for </w:t>
      </w:r>
      <w:r w:rsidR="004B1207">
        <w:rPr>
          <w:rFonts w:asciiTheme="minorHAnsi" w:eastAsiaTheme="minorHAnsi" w:hAnsiTheme="minorHAnsi" w:cstheme="minorBidi"/>
          <w:lang w:val="en-US" w:eastAsia="en-US"/>
        </w:rPr>
        <w:t>"</w:t>
      </w:r>
      <w:r w:rsidR="001A308C" w:rsidRPr="001A33AC">
        <w:rPr>
          <w:rFonts w:asciiTheme="minorHAnsi" w:eastAsiaTheme="minorHAnsi" w:hAnsiTheme="minorHAnsi" w:cstheme="minorBidi"/>
          <w:lang w:val="en-US" w:eastAsia="en-US"/>
        </w:rPr>
        <w:t xml:space="preserve">achieving equal access to emergency [communication] services by people with disabilities </w:t>
      </w:r>
      <w:r w:rsidR="001A308C" w:rsidRPr="001A33AC">
        <w:rPr>
          <w:rFonts w:asciiTheme="minorHAnsi" w:eastAsiaTheme="minorHAnsi" w:hAnsiTheme="minorHAnsi" w:cstheme="minorBidi"/>
          <w:lang w:val="en-US" w:eastAsia="en-US"/>
        </w:rPr>
        <w:fldChar w:fldCharType="begin"/>
      </w:r>
      <w:r w:rsidR="00AC15DC" w:rsidRPr="001A33AC">
        <w:rPr>
          <w:rFonts w:asciiTheme="minorHAnsi" w:eastAsiaTheme="minorHAnsi" w:hAnsiTheme="minorHAnsi" w:cstheme="minorBidi"/>
          <w:lang w:val="en-US" w:eastAsia="en-US"/>
        </w:rPr>
        <w:instrText xml:space="preserve"> ADDIN EN.CITE &lt;EndNote&gt;&lt;Cite&gt;&lt;Year&gt;2010&lt;/Year&gt;&lt;RecNum&gt;1403&lt;/RecNum&gt;&lt;DisplayText&gt;(&amp;quot;The Twenty-first Century Communications Video Accessibility Act,&amp;quot; 2010)&lt;/DisplayText&gt;&lt;record&gt;&lt;rec-number&gt;1403&lt;/rec-number&gt;&lt;foreign-keys&gt;&lt;key app="EN" db-id="rexdsvwd75fxr6ewxpcxfa0nra99fewv2awe" timestamp="1610401019"&gt;1403&lt;/key&gt;&lt;/foreign-keys&gt;&lt;ref-type name="Legal Rule or Regulation"&gt;50&lt;/ref-type&gt;&lt;contributors&gt;&lt;/contributors&gt;&lt;titles&gt;&lt;title&gt;The Twenty-first Century Communications Video Accessibility Act&lt;/title&gt;&lt;/titles&gt;&lt;volume&gt;Public Law 111-260&lt;/volume&gt;&lt;dates&gt;&lt;year&gt;2010&lt;/year&gt;&lt;/dates&gt;&lt;pub-location&gt;United States &lt;/pub-location&gt;&lt;urls&gt;&lt;/urls&gt;&lt;/record&gt;&lt;/Cite&gt;&lt;/EndNote&gt;</w:instrText>
      </w:r>
      <w:r w:rsidR="001A308C" w:rsidRPr="001A33AC">
        <w:rPr>
          <w:rFonts w:asciiTheme="minorHAnsi" w:eastAsiaTheme="minorHAnsi" w:hAnsiTheme="minorHAnsi" w:cstheme="minorBidi"/>
          <w:lang w:val="en-US" w:eastAsia="en-US"/>
        </w:rPr>
        <w:fldChar w:fldCharType="separate"/>
      </w:r>
      <w:r w:rsidR="00AC15DC" w:rsidRPr="001A33AC">
        <w:rPr>
          <w:rFonts w:asciiTheme="minorHAnsi" w:eastAsiaTheme="minorHAnsi" w:hAnsiTheme="minorHAnsi" w:cstheme="minorBidi"/>
          <w:lang w:val="en-US" w:eastAsia="en-US"/>
        </w:rPr>
        <w:t>("The Twenty-first Century Communications Video Accessibility Act," 2010)</w:t>
      </w:r>
      <w:r w:rsidR="001A308C" w:rsidRPr="001A33AC">
        <w:rPr>
          <w:rFonts w:asciiTheme="minorHAnsi" w:eastAsiaTheme="minorHAnsi" w:hAnsiTheme="minorHAnsi" w:cstheme="minorBidi"/>
          <w:lang w:val="en-US" w:eastAsia="en-US"/>
        </w:rPr>
        <w:fldChar w:fldCharType="end"/>
      </w:r>
      <w:r w:rsidR="00D9741F" w:rsidRPr="001A33AC">
        <w:rPr>
          <w:rFonts w:asciiTheme="minorHAnsi" w:eastAsiaTheme="minorHAnsi" w:hAnsiTheme="minorHAnsi" w:cstheme="minorBidi"/>
          <w:lang w:val="en-US" w:eastAsia="en-US"/>
        </w:rPr>
        <w:t>,</w:t>
      </w:r>
      <w:r w:rsidR="004B1207">
        <w:rPr>
          <w:rFonts w:asciiTheme="minorHAnsi" w:eastAsiaTheme="minorHAnsi" w:hAnsiTheme="minorHAnsi" w:cstheme="minorBidi"/>
          <w:lang w:val="en-US" w:eastAsia="en-US"/>
        </w:rPr>
        <w:t>"</w:t>
      </w:r>
      <w:r w:rsidR="001A308C" w:rsidRPr="001A33AC">
        <w:rPr>
          <w:rFonts w:asciiTheme="minorHAnsi" w:eastAsiaTheme="minorHAnsi" w:hAnsiTheme="minorHAnsi" w:cstheme="minorBidi"/>
          <w:lang w:val="en-US" w:eastAsia="en-US"/>
        </w:rPr>
        <w:t xml:space="preserve"> </w:t>
      </w:r>
      <w:r w:rsidR="00D9741F" w:rsidRPr="001A33AC">
        <w:rPr>
          <w:rFonts w:asciiTheme="minorHAnsi" w:eastAsiaTheme="minorHAnsi" w:hAnsiTheme="minorHAnsi" w:cstheme="minorBidi"/>
          <w:lang w:val="en-US" w:eastAsia="en-US"/>
        </w:rPr>
        <w:t xml:space="preserve">while the Federal Communications Commission (FCC) continues its efforts to ensure emergency communications are accessible and inclusive all people, including those with disabilities. </w:t>
      </w:r>
      <w:r w:rsidR="00A862D0" w:rsidRPr="001A33AC">
        <w:rPr>
          <w:rFonts w:asciiTheme="minorHAnsi" w:eastAsiaTheme="minorHAnsi" w:hAnsiTheme="minorHAnsi" w:cstheme="minorBidi"/>
          <w:lang w:val="en-US" w:eastAsia="en-US"/>
        </w:rPr>
        <w:t xml:space="preserve">These efforts have </w:t>
      </w:r>
      <w:r w:rsidR="00451AB8" w:rsidRPr="001A33AC">
        <w:rPr>
          <w:rFonts w:asciiTheme="minorHAnsi" w:eastAsiaTheme="minorHAnsi" w:hAnsiTheme="minorHAnsi" w:cstheme="minorBidi"/>
          <w:lang w:val="en-US" w:eastAsia="en-US"/>
        </w:rPr>
        <w:t xml:space="preserve">taken on </w:t>
      </w:r>
      <w:r w:rsidR="000402CE" w:rsidRPr="001A33AC">
        <w:rPr>
          <w:rFonts w:asciiTheme="minorHAnsi" w:eastAsiaTheme="minorHAnsi" w:hAnsiTheme="minorHAnsi" w:cstheme="minorBidi"/>
          <w:lang w:val="en-US" w:eastAsia="en-US"/>
        </w:rPr>
        <w:t xml:space="preserve">considerable importance because of </w:t>
      </w:r>
      <w:r w:rsidR="00A862D0" w:rsidRPr="001A33AC">
        <w:rPr>
          <w:rFonts w:asciiTheme="minorHAnsi" w:eastAsiaTheme="minorHAnsi" w:hAnsiTheme="minorHAnsi" w:cstheme="minorBidi"/>
          <w:lang w:val="en-US" w:eastAsia="en-US"/>
        </w:rPr>
        <w:t xml:space="preserve">the </w:t>
      </w:r>
      <w:r w:rsidR="00E92DC9" w:rsidRPr="001A33AC">
        <w:rPr>
          <w:rFonts w:asciiTheme="minorHAnsi" w:eastAsiaTheme="minorHAnsi" w:hAnsiTheme="minorHAnsi" w:cstheme="minorBidi"/>
          <w:lang w:val="en-US" w:eastAsia="en-US"/>
        </w:rPr>
        <w:t xml:space="preserve">continued </w:t>
      </w:r>
      <w:r w:rsidR="00A862D0" w:rsidRPr="001A33AC">
        <w:rPr>
          <w:rFonts w:asciiTheme="minorHAnsi" w:eastAsiaTheme="minorHAnsi" w:hAnsiTheme="minorHAnsi" w:cstheme="minorBidi"/>
          <w:lang w:val="en-US" w:eastAsia="en-US"/>
        </w:rPr>
        <w:t xml:space="preserve">growth </w:t>
      </w:r>
      <w:r w:rsidR="00E92DC9" w:rsidRPr="001A33AC">
        <w:rPr>
          <w:rFonts w:asciiTheme="minorHAnsi" w:eastAsiaTheme="minorHAnsi" w:hAnsiTheme="minorHAnsi" w:cstheme="minorBidi"/>
          <w:lang w:val="en-US" w:eastAsia="en-US"/>
        </w:rPr>
        <w:t xml:space="preserve">in the use of wireless devices by people with disabilities, with 88% of respondents to a Wireless RERC survey indicating that they owned or used at least one wireless device </w:t>
      </w:r>
      <w:r w:rsidR="002D13E4" w:rsidRPr="001A33AC">
        <w:rPr>
          <w:rFonts w:asciiTheme="minorHAnsi" w:eastAsiaTheme="minorHAnsi" w:hAnsiTheme="minorHAnsi" w:cstheme="minorBidi"/>
          <w:lang w:val="en-US" w:eastAsia="en-US"/>
        </w:rPr>
        <w:fldChar w:fldCharType="begin"/>
      </w:r>
      <w:r w:rsidR="00AC15DC" w:rsidRPr="001A33AC">
        <w:rPr>
          <w:rFonts w:asciiTheme="minorHAnsi" w:eastAsiaTheme="minorHAnsi" w:hAnsiTheme="minorHAnsi" w:cstheme="minorBidi"/>
          <w:lang w:val="en-US" w:eastAsia="en-US"/>
        </w:rPr>
        <w:instrText xml:space="preserve"> ADDIN EN.CITE &lt;EndNote&gt;&lt;Cite&gt;&lt;Author&gt;Moon&lt;/Author&gt;&lt;Year&gt;2020&lt;/Year&gt;&lt;RecNum&gt;1405&lt;/RecNum&gt;&lt;DisplayText&gt;(Moon, Griffiths, LaForce, &amp;amp; Linden, 2020)&lt;/DisplayText&gt;&lt;record&gt;&lt;rec-number&gt;1405&lt;/rec-number&gt;&lt;foreign-keys&gt;&lt;key app="EN" db-id="rexdsvwd75fxr6ewxpcxfa0nra99fewv2awe" timestamp="1610403538"&gt;1405&lt;/key&gt;&lt;/foreign-keys&gt;&lt;ref-type name="Journal Article"&gt;17&lt;/ref-type&gt;&lt;contributors&gt;&lt;authors&gt;&lt;author&gt;Moon, Nathan W.&lt;/author&gt;&lt;author&gt;Griffiths, Patricia C. &lt;/author&gt;&lt;author&gt;LaForce, Muslimah S.&lt;/author&gt;&lt;author&gt;Linden, Maureen A.  &lt;/author&gt;&lt;/authors&gt;&lt;/contributors&gt;&lt;titles&gt;&lt;title&gt;Wireless Device Use by Individuals with Disabilities: Findings from a National Survey&lt;/title&gt;&lt;secondary-title&gt;Journal on Technology and Persons with Disabilities&lt;/secondary-title&gt;&lt;/titles&gt;&lt;periodical&gt;&lt;full-title&gt;Journal on Technology and Persons with Disabilities&lt;/full-title&gt;&lt;/periodical&gt;&lt;pages&gt;196-209&lt;/pages&gt;&lt;volume&gt;8&lt;/volume&gt;&lt;dates&gt;&lt;year&gt;2020&lt;/year&gt;&lt;/dates&gt;&lt;urls&gt;&lt;related-urls&gt;&lt;url&gt;http://scholarworks.csun.edu/handle/10211.3/215946&lt;/url&gt;&lt;/related-urls&gt;&lt;/urls&gt;&lt;/record&gt;&lt;/Cite&gt;&lt;/EndNote&gt;</w:instrText>
      </w:r>
      <w:r w:rsidR="002D13E4" w:rsidRPr="001A33AC">
        <w:rPr>
          <w:rFonts w:asciiTheme="minorHAnsi" w:eastAsiaTheme="minorHAnsi" w:hAnsiTheme="minorHAnsi" w:cstheme="minorBidi"/>
          <w:lang w:val="en-US" w:eastAsia="en-US"/>
        </w:rPr>
        <w:fldChar w:fldCharType="separate"/>
      </w:r>
      <w:r w:rsidR="00AC15DC" w:rsidRPr="001A33AC">
        <w:rPr>
          <w:rFonts w:asciiTheme="minorHAnsi" w:eastAsiaTheme="minorHAnsi" w:hAnsiTheme="minorHAnsi" w:cstheme="minorBidi"/>
          <w:lang w:val="en-US" w:eastAsia="en-US"/>
        </w:rPr>
        <w:t>(Moon, Griffiths, LaForce, &amp; Linden, 2020)</w:t>
      </w:r>
      <w:r w:rsidR="002D13E4" w:rsidRPr="001A33AC">
        <w:rPr>
          <w:rFonts w:asciiTheme="minorHAnsi" w:eastAsiaTheme="minorHAnsi" w:hAnsiTheme="minorHAnsi" w:cstheme="minorBidi"/>
          <w:lang w:val="en-US" w:eastAsia="en-US"/>
        </w:rPr>
        <w:fldChar w:fldCharType="end"/>
      </w:r>
      <w:r w:rsidR="002D13E4" w:rsidRPr="001A33AC">
        <w:rPr>
          <w:rFonts w:asciiTheme="minorHAnsi" w:eastAsiaTheme="minorHAnsi" w:hAnsiTheme="minorHAnsi" w:cstheme="minorBidi"/>
          <w:lang w:val="en-US" w:eastAsia="en-US"/>
        </w:rPr>
        <w:t xml:space="preserve">.  </w:t>
      </w:r>
    </w:p>
    <w:p w14:paraId="2132BA47" w14:textId="066D78EC" w:rsidR="00487C2F" w:rsidRPr="001A33AC" w:rsidRDefault="00B60D7E" w:rsidP="001A33AC">
      <w:pPr>
        <w:spacing w:after="120" w:line="276" w:lineRule="auto"/>
        <w:jc w:val="both"/>
        <w:rPr>
          <w:rFonts w:asciiTheme="minorHAnsi" w:eastAsiaTheme="minorHAnsi" w:hAnsiTheme="minorHAnsi" w:cstheme="minorBidi"/>
          <w:lang w:val="en-US" w:eastAsia="en-US"/>
        </w:rPr>
      </w:pPr>
      <w:r w:rsidRPr="001A33AC">
        <w:rPr>
          <w:rFonts w:asciiTheme="minorHAnsi" w:eastAsiaTheme="minorHAnsi" w:hAnsiTheme="minorHAnsi" w:cstheme="minorBidi"/>
          <w:lang w:val="en-US" w:eastAsia="en-US"/>
        </w:rPr>
        <w:t>The Federal Emergency Management Agency (</w:t>
      </w:r>
      <w:r w:rsidR="00B22839" w:rsidRPr="001A33AC">
        <w:rPr>
          <w:rFonts w:asciiTheme="minorHAnsi" w:eastAsiaTheme="minorHAnsi" w:hAnsiTheme="minorHAnsi" w:cstheme="minorBidi"/>
          <w:lang w:val="en-US" w:eastAsia="en-US"/>
        </w:rPr>
        <w:t>FEMA</w:t>
      </w:r>
      <w:r w:rsidRPr="001A33AC">
        <w:rPr>
          <w:rFonts w:asciiTheme="minorHAnsi" w:eastAsiaTheme="minorHAnsi" w:hAnsiTheme="minorHAnsi" w:cstheme="minorBidi"/>
          <w:lang w:val="en-US" w:eastAsia="en-US"/>
        </w:rPr>
        <w:t>)</w:t>
      </w:r>
      <w:r w:rsidR="00B22839" w:rsidRPr="001A33AC">
        <w:rPr>
          <w:rFonts w:asciiTheme="minorHAnsi" w:eastAsiaTheme="minorHAnsi" w:hAnsiTheme="minorHAnsi" w:cstheme="minorBidi"/>
          <w:lang w:val="en-US" w:eastAsia="en-US"/>
        </w:rPr>
        <w:t xml:space="preserve"> operates the International Public Alert &amp; Warning System (IPAWS) to provide authenticated emergency and life-saving information to the public through mobile phones using </w:t>
      </w:r>
      <w:r w:rsidR="00386716" w:rsidRPr="001A33AC">
        <w:rPr>
          <w:rFonts w:asciiTheme="minorHAnsi" w:eastAsiaTheme="minorHAnsi" w:hAnsiTheme="minorHAnsi" w:cstheme="minorBidi"/>
          <w:lang w:val="en-US" w:eastAsia="en-US"/>
        </w:rPr>
        <w:t>Wireless Emergency Alerts (WEAs</w:t>
      </w:r>
      <w:r w:rsidR="002F45DB" w:rsidRPr="001A33AC">
        <w:rPr>
          <w:rFonts w:asciiTheme="minorHAnsi" w:eastAsiaTheme="minorHAnsi" w:hAnsiTheme="minorHAnsi" w:cstheme="minorBidi"/>
          <w:lang w:val="en-US" w:eastAsia="en-US"/>
        </w:rPr>
        <w:t>), the</w:t>
      </w:r>
      <w:r w:rsidR="00386716" w:rsidRPr="001A33AC">
        <w:rPr>
          <w:rFonts w:asciiTheme="minorHAnsi" w:eastAsiaTheme="minorHAnsi" w:hAnsiTheme="minorHAnsi" w:cstheme="minorBidi"/>
          <w:lang w:val="en-US" w:eastAsia="en-US"/>
        </w:rPr>
        <w:t xml:space="preserve"> Emergency Alert System (EAS) through radio and television, </w:t>
      </w:r>
      <w:r w:rsidR="00F268D3" w:rsidRPr="001A33AC">
        <w:rPr>
          <w:rFonts w:asciiTheme="minorHAnsi" w:eastAsiaTheme="minorHAnsi" w:hAnsiTheme="minorHAnsi" w:cstheme="minorBidi"/>
          <w:lang w:val="en-US" w:eastAsia="en-US"/>
        </w:rPr>
        <w:t>and on the National Oceanic and Atmospheric Administration</w:t>
      </w:r>
      <w:r w:rsidR="004B1207">
        <w:rPr>
          <w:rFonts w:asciiTheme="minorHAnsi" w:eastAsiaTheme="minorHAnsi" w:hAnsiTheme="minorHAnsi" w:cstheme="minorBidi"/>
          <w:lang w:val="en-US" w:eastAsia="en-US"/>
        </w:rPr>
        <w:t>'</w:t>
      </w:r>
      <w:r w:rsidR="00F268D3" w:rsidRPr="001A33AC">
        <w:rPr>
          <w:rFonts w:asciiTheme="minorHAnsi" w:eastAsiaTheme="minorHAnsi" w:hAnsiTheme="minorHAnsi" w:cstheme="minorBidi"/>
          <w:lang w:val="en-US" w:eastAsia="en-US"/>
        </w:rPr>
        <w:t xml:space="preserve">s (NOAA) Weather Radio. </w:t>
      </w:r>
      <w:r w:rsidR="002E335B" w:rsidRPr="001A33AC">
        <w:rPr>
          <w:rFonts w:asciiTheme="minorHAnsi" w:eastAsiaTheme="minorHAnsi" w:hAnsiTheme="minorHAnsi" w:cstheme="minorBidi"/>
          <w:lang w:val="en-US" w:eastAsia="en-US"/>
        </w:rPr>
        <w:t xml:space="preserve">Because they are delivered </w:t>
      </w:r>
      <w:r w:rsidRPr="001A33AC">
        <w:rPr>
          <w:rFonts w:asciiTheme="minorHAnsi" w:eastAsiaTheme="minorHAnsi" w:hAnsiTheme="minorHAnsi" w:cstheme="minorBidi"/>
          <w:lang w:val="en-US" w:eastAsia="en-US"/>
        </w:rPr>
        <w:t>to</w:t>
      </w:r>
      <w:r w:rsidR="002E335B" w:rsidRPr="001A33AC">
        <w:rPr>
          <w:rFonts w:asciiTheme="minorHAnsi" w:eastAsiaTheme="minorHAnsi" w:hAnsiTheme="minorHAnsi" w:cstheme="minorBidi"/>
          <w:lang w:val="en-US" w:eastAsia="en-US"/>
        </w:rPr>
        <w:t xml:space="preserve"> an individual</w:t>
      </w:r>
      <w:r w:rsidR="004B1207">
        <w:rPr>
          <w:rFonts w:asciiTheme="minorHAnsi" w:eastAsiaTheme="minorHAnsi" w:hAnsiTheme="minorHAnsi" w:cstheme="minorBidi"/>
          <w:lang w:val="en-US" w:eastAsia="en-US"/>
        </w:rPr>
        <w:t>'</w:t>
      </w:r>
      <w:r w:rsidR="002E335B" w:rsidRPr="001A33AC">
        <w:rPr>
          <w:rFonts w:asciiTheme="minorHAnsi" w:eastAsiaTheme="minorHAnsi" w:hAnsiTheme="minorHAnsi" w:cstheme="minorBidi"/>
          <w:lang w:val="en-US" w:eastAsia="en-US"/>
        </w:rPr>
        <w:t xml:space="preserve">s mobile phone, </w:t>
      </w:r>
      <w:r w:rsidR="00EC2A86" w:rsidRPr="001A33AC">
        <w:rPr>
          <w:rFonts w:asciiTheme="minorHAnsi" w:eastAsiaTheme="minorHAnsi" w:hAnsiTheme="minorHAnsi" w:cstheme="minorBidi"/>
          <w:lang w:val="en-US" w:eastAsia="en-US"/>
        </w:rPr>
        <w:t>WEA</w:t>
      </w:r>
      <w:r w:rsidR="002E335B" w:rsidRPr="001A33AC">
        <w:rPr>
          <w:rFonts w:asciiTheme="minorHAnsi" w:eastAsiaTheme="minorHAnsi" w:hAnsiTheme="minorHAnsi" w:cstheme="minorBidi"/>
          <w:lang w:val="en-US" w:eastAsia="en-US"/>
        </w:rPr>
        <w:t xml:space="preserve"> messages</w:t>
      </w:r>
      <w:r w:rsidR="00EC2A86" w:rsidRPr="001A33AC">
        <w:rPr>
          <w:rFonts w:asciiTheme="minorHAnsi" w:eastAsiaTheme="minorHAnsi" w:hAnsiTheme="minorHAnsi" w:cstheme="minorBidi"/>
          <w:lang w:val="en-US" w:eastAsia="en-US"/>
        </w:rPr>
        <w:t xml:space="preserve"> </w:t>
      </w:r>
      <w:r w:rsidR="002D13E4" w:rsidRPr="001A33AC">
        <w:rPr>
          <w:rFonts w:asciiTheme="minorHAnsi" w:eastAsiaTheme="minorHAnsi" w:hAnsiTheme="minorHAnsi" w:cstheme="minorBidi"/>
          <w:lang w:val="en-US" w:eastAsia="en-US"/>
        </w:rPr>
        <w:t>are geotargeted</w:t>
      </w:r>
      <w:r w:rsidR="00EB56FC">
        <w:rPr>
          <w:rFonts w:asciiTheme="minorHAnsi" w:eastAsiaTheme="minorHAnsi" w:hAnsiTheme="minorHAnsi" w:cstheme="minorBidi"/>
          <w:lang w:val="en-US" w:eastAsia="en-US"/>
        </w:rPr>
        <w:t>. O</w:t>
      </w:r>
      <w:r w:rsidR="002D13E4" w:rsidRPr="001A33AC">
        <w:rPr>
          <w:rFonts w:asciiTheme="minorHAnsi" w:eastAsiaTheme="minorHAnsi" w:hAnsiTheme="minorHAnsi" w:cstheme="minorBidi"/>
          <w:lang w:val="en-US" w:eastAsia="en-US"/>
        </w:rPr>
        <w:t xml:space="preserve">nly wireless devices in the areas immediately impacted by the emergency event receive the incoming communication. </w:t>
      </w:r>
      <w:r w:rsidR="00792792" w:rsidRPr="001A33AC">
        <w:rPr>
          <w:rFonts w:asciiTheme="minorHAnsi" w:eastAsiaTheme="minorHAnsi" w:hAnsiTheme="minorHAnsi" w:cstheme="minorBidi"/>
          <w:lang w:val="en-US" w:eastAsia="en-US"/>
        </w:rPr>
        <w:t xml:space="preserve">Unfortunately, </w:t>
      </w:r>
      <w:r w:rsidR="00BF2B6A" w:rsidRPr="001A33AC">
        <w:rPr>
          <w:rFonts w:asciiTheme="minorHAnsi" w:eastAsiaTheme="minorHAnsi" w:hAnsiTheme="minorHAnsi" w:cstheme="minorBidi"/>
          <w:lang w:val="en-US" w:eastAsia="en-US"/>
        </w:rPr>
        <w:t xml:space="preserve">WEA </w:t>
      </w:r>
      <w:r w:rsidR="00792792" w:rsidRPr="001A33AC">
        <w:rPr>
          <w:rFonts w:asciiTheme="minorHAnsi" w:eastAsiaTheme="minorHAnsi" w:hAnsiTheme="minorHAnsi" w:cstheme="minorBidi"/>
          <w:lang w:val="en-US" w:eastAsia="en-US"/>
        </w:rPr>
        <w:t>message</w:t>
      </w:r>
      <w:r w:rsidR="00BF2B6A" w:rsidRPr="001A33AC">
        <w:rPr>
          <w:rFonts w:asciiTheme="minorHAnsi" w:eastAsiaTheme="minorHAnsi" w:hAnsiTheme="minorHAnsi" w:cstheme="minorBidi"/>
          <w:lang w:val="en-US" w:eastAsia="en-US"/>
        </w:rPr>
        <w:t>s</w:t>
      </w:r>
      <w:r w:rsidR="00792792" w:rsidRPr="001A33AC">
        <w:rPr>
          <w:rFonts w:asciiTheme="minorHAnsi" w:eastAsiaTheme="minorHAnsi" w:hAnsiTheme="minorHAnsi" w:cstheme="minorBidi"/>
          <w:lang w:val="en-US" w:eastAsia="en-US"/>
        </w:rPr>
        <w:t xml:space="preserve"> </w:t>
      </w:r>
      <w:r w:rsidR="00B322C1" w:rsidRPr="001A33AC">
        <w:rPr>
          <w:rFonts w:asciiTheme="minorHAnsi" w:eastAsiaTheme="minorHAnsi" w:hAnsiTheme="minorHAnsi" w:cstheme="minorBidi"/>
          <w:lang w:val="en-US" w:eastAsia="en-US"/>
        </w:rPr>
        <w:t xml:space="preserve">are </w:t>
      </w:r>
      <w:r w:rsidR="00792792" w:rsidRPr="001A33AC">
        <w:rPr>
          <w:rFonts w:asciiTheme="minorHAnsi" w:eastAsiaTheme="minorHAnsi" w:hAnsiTheme="minorHAnsi" w:cstheme="minorBidi"/>
          <w:lang w:val="en-US" w:eastAsia="en-US"/>
        </w:rPr>
        <w:t>difficult for people with sensory, cognitive, or learning disabilities to access th</w:t>
      </w:r>
      <w:r w:rsidR="00621263" w:rsidRPr="001A33AC">
        <w:rPr>
          <w:rFonts w:asciiTheme="minorHAnsi" w:eastAsiaTheme="minorHAnsi" w:hAnsiTheme="minorHAnsi" w:cstheme="minorBidi"/>
          <w:lang w:val="en-US" w:eastAsia="en-US"/>
        </w:rPr>
        <w:t>e information that the</w:t>
      </w:r>
      <w:r w:rsidR="00F0250C" w:rsidRPr="001A33AC">
        <w:rPr>
          <w:rFonts w:asciiTheme="minorHAnsi" w:eastAsiaTheme="minorHAnsi" w:hAnsiTheme="minorHAnsi" w:cstheme="minorBidi"/>
          <w:lang w:val="en-US" w:eastAsia="en-US"/>
        </w:rPr>
        <w:t>y</w:t>
      </w:r>
      <w:r w:rsidR="00621263" w:rsidRPr="001A33AC">
        <w:rPr>
          <w:rFonts w:asciiTheme="minorHAnsi" w:eastAsiaTheme="minorHAnsi" w:hAnsiTheme="minorHAnsi" w:cstheme="minorBidi"/>
          <w:lang w:val="en-US" w:eastAsia="en-US"/>
        </w:rPr>
        <w:t xml:space="preserve"> need in an emergency. Although the message appears like text, it is frequently not readable by </w:t>
      </w:r>
      <w:r w:rsidR="00621263" w:rsidRPr="001A33AC">
        <w:rPr>
          <w:rFonts w:asciiTheme="minorHAnsi" w:eastAsiaTheme="minorHAnsi" w:hAnsiTheme="minorHAnsi" w:cstheme="minorBidi"/>
          <w:lang w:val="en-US" w:eastAsia="en-US"/>
        </w:rPr>
        <w:lastRenderedPageBreak/>
        <w:t>voice output (screen-reader) software</w:t>
      </w:r>
      <w:r w:rsidR="0095103C" w:rsidRPr="001A33AC">
        <w:rPr>
          <w:rFonts w:asciiTheme="minorHAnsi" w:eastAsiaTheme="minorHAnsi" w:hAnsiTheme="minorHAnsi" w:cstheme="minorBidi"/>
          <w:lang w:val="en-US" w:eastAsia="en-US"/>
        </w:rPr>
        <w:t xml:space="preserve">. This makes the </w:t>
      </w:r>
      <w:r w:rsidR="00621263" w:rsidRPr="001A33AC">
        <w:rPr>
          <w:rFonts w:asciiTheme="minorHAnsi" w:eastAsiaTheme="minorHAnsi" w:hAnsiTheme="minorHAnsi" w:cstheme="minorBidi"/>
          <w:lang w:val="en-US" w:eastAsia="en-US"/>
        </w:rPr>
        <w:t xml:space="preserve">message inaccessible </w:t>
      </w:r>
      <w:r w:rsidR="0095103C" w:rsidRPr="001A33AC">
        <w:rPr>
          <w:rFonts w:asciiTheme="minorHAnsi" w:eastAsiaTheme="minorHAnsi" w:hAnsiTheme="minorHAnsi" w:cstheme="minorBidi"/>
          <w:lang w:val="en-US" w:eastAsia="en-US"/>
        </w:rPr>
        <w:t xml:space="preserve">and easily misunderstood for </w:t>
      </w:r>
      <w:r w:rsidR="00621263" w:rsidRPr="001A33AC">
        <w:rPr>
          <w:rFonts w:asciiTheme="minorHAnsi" w:eastAsiaTheme="minorHAnsi" w:hAnsiTheme="minorHAnsi" w:cstheme="minorBidi"/>
          <w:lang w:val="en-US" w:eastAsia="en-US"/>
        </w:rPr>
        <w:t>those with vision</w:t>
      </w:r>
      <w:r w:rsidR="0095103C" w:rsidRPr="001A33AC">
        <w:rPr>
          <w:rFonts w:asciiTheme="minorHAnsi" w:eastAsiaTheme="minorHAnsi" w:hAnsiTheme="minorHAnsi" w:cstheme="minorBidi"/>
          <w:lang w:val="en-US" w:eastAsia="en-US"/>
        </w:rPr>
        <w:t>, learning, and cognitive disabilities</w:t>
      </w:r>
      <w:r w:rsidR="00621263" w:rsidRPr="001A33AC">
        <w:rPr>
          <w:rFonts w:asciiTheme="minorHAnsi" w:eastAsiaTheme="minorHAnsi" w:hAnsiTheme="minorHAnsi" w:cstheme="minorBidi"/>
          <w:lang w:val="en-US" w:eastAsia="en-US"/>
        </w:rPr>
        <w:t xml:space="preserve">. </w:t>
      </w:r>
      <w:r w:rsidR="00A53108" w:rsidRPr="001A33AC">
        <w:rPr>
          <w:rFonts w:asciiTheme="minorHAnsi" w:eastAsiaTheme="minorHAnsi" w:hAnsiTheme="minorHAnsi" w:cstheme="minorBidi"/>
          <w:lang w:val="en-US" w:eastAsia="en-US"/>
        </w:rPr>
        <w:t>Emergency information is best understood in one</w:t>
      </w:r>
      <w:r w:rsidR="004B1207">
        <w:rPr>
          <w:rFonts w:asciiTheme="minorHAnsi" w:eastAsiaTheme="minorHAnsi" w:hAnsiTheme="minorHAnsi" w:cstheme="minorBidi"/>
          <w:lang w:val="en-US" w:eastAsia="en-US"/>
        </w:rPr>
        <w:t>'</w:t>
      </w:r>
      <w:r w:rsidR="00A53108" w:rsidRPr="001A33AC">
        <w:rPr>
          <w:rFonts w:asciiTheme="minorHAnsi" w:eastAsiaTheme="minorHAnsi" w:hAnsiTheme="minorHAnsi" w:cstheme="minorBidi"/>
          <w:lang w:val="en-US" w:eastAsia="en-US"/>
        </w:rPr>
        <w:t xml:space="preserve">s primary language </w:t>
      </w:r>
      <w:r w:rsidR="00A53108" w:rsidRPr="001A33AC">
        <w:rPr>
          <w:rFonts w:asciiTheme="minorHAnsi" w:eastAsiaTheme="minorHAnsi" w:hAnsiTheme="minorHAnsi" w:cstheme="minorBidi"/>
          <w:lang w:val="en-US" w:eastAsia="en-US"/>
        </w:rPr>
        <w:fldChar w:fldCharType="begin"/>
      </w:r>
      <w:r w:rsidR="00AC15DC" w:rsidRPr="001A33AC">
        <w:rPr>
          <w:rFonts w:asciiTheme="minorHAnsi" w:eastAsiaTheme="minorHAnsi" w:hAnsiTheme="minorHAnsi" w:cstheme="minorBidi"/>
          <w:lang w:val="en-US" w:eastAsia="en-US"/>
        </w:rPr>
        <w:instrText xml:space="preserve"> ADDIN EN.CITE &lt;EndNote&gt;&lt;Cite&gt;&lt;Author&gt;National Council on Disability&lt;/Author&gt;&lt;Year&gt;2014 &lt;/Year&gt;&lt;RecNum&gt;1411&lt;/RecNum&gt;&lt;DisplayText&gt;(National Council on Disability, 2014 )&lt;/DisplayText&gt;&lt;record&gt;&lt;rec-number&gt;1411&lt;/rec-number&gt;&lt;foreign-keys&gt;&lt;key app="EN" db-id="rexdsvwd75fxr6ewxpcxfa0nra99fewv2awe" timestamp="1610566731"&gt;1411&lt;/key&gt;&lt;/foreign-keys&gt;&lt;ref-type name="Book"&gt;6&lt;/ref-type&gt;&lt;contributors&gt;&lt;authors&gt;&lt;author&gt;National Council on Disability,&lt;/author&gt;&lt;/authors&gt;&lt;/contributors&gt;&lt;titles&gt;&lt;title&gt;Effective Communictions for Peple with Disabilities:  Before, During, and After Emergencies.&lt;/title&gt;&lt;/titles&gt;&lt;dates&gt;&lt;year&gt;2014 &lt;/year&gt;&lt;pub-dates&gt;&lt;date&gt;May 27, 2014&lt;/date&gt;&lt;/pub-dates&gt;&lt;/dates&gt;&lt;pub-location&gt;Washington, DC&lt;/pub-location&gt;&lt;publisher&gt;National Council on Disability&lt;/publisher&gt;&lt;urls&gt;&lt;/urls&gt;&lt;/record&gt;&lt;/Cite&gt;&lt;/EndNote&gt;</w:instrText>
      </w:r>
      <w:r w:rsidR="00A53108" w:rsidRPr="001A33AC">
        <w:rPr>
          <w:rFonts w:asciiTheme="minorHAnsi" w:eastAsiaTheme="minorHAnsi" w:hAnsiTheme="minorHAnsi" w:cstheme="minorBidi"/>
          <w:lang w:val="en-US" w:eastAsia="en-US"/>
        </w:rPr>
        <w:fldChar w:fldCharType="separate"/>
      </w:r>
      <w:r w:rsidR="00AC15DC" w:rsidRPr="001A33AC">
        <w:rPr>
          <w:rFonts w:asciiTheme="minorHAnsi" w:eastAsiaTheme="minorHAnsi" w:hAnsiTheme="minorHAnsi" w:cstheme="minorBidi"/>
          <w:lang w:val="en-US" w:eastAsia="en-US"/>
        </w:rPr>
        <w:t>(National Council on Disability, 2014 )</w:t>
      </w:r>
      <w:r w:rsidR="00A53108" w:rsidRPr="001A33AC">
        <w:rPr>
          <w:rFonts w:asciiTheme="minorHAnsi" w:eastAsiaTheme="minorHAnsi" w:hAnsiTheme="minorHAnsi" w:cstheme="minorBidi"/>
          <w:lang w:val="en-US" w:eastAsia="en-US"/>
        </w:rPr>
        <w:fldChar w:fldCharType="end"/>
      </w:r>
      <w:r w:rsidR="00A53108" w:rsidRPr="001A33AC">
        <w:rPr>
          <w:rFonts w:asciiTheme="minorHAnsi" w:eastAsiaTheme="minorHAnsi" w:hAnsiTheme="minorHAnsi" w:cstheme="minorBidi"/>
          <w:lang w:val="en-US" w:eastAsia="en-US"/>
        </w:rPr>
        <w:t xml:space="preserve">, which for many people who are Deaf is </w:t>
      </w:r>
      <w:r w:rsidR="00A52C14" w:rsidRPr="001A33AC">
        <w:rPr>
          <w:rFonts w:asciiTheme="minorHAnsi" w:eastAsiaTheme="minorHAnsi" w:hAnsiTheme="minorHAnsi" w:cstheme="minorBidi"/>
          <w:lang w:val="en-US" w:eastAsia="en-US"/>
        </w:rPr>
        <w:t>American Sign Language (</w:t>
      </w:r>
      <w:r w:rsidR="00A53108" w:rsidRPr="001A33AC">
        <w:rPr>
          <w:rFonts w:asciiTheme="minorHAnsi" w:eastAsiaTheme="minorHAnsi" w:hAnsiTheme="minorHAnsi" w:cstheme="minorBidi"/>
          <w:lang w:val="en-US" w:eastAsia="en-US"/>
        </w:rPr>
        <w:t>ASL</w:t>
      </w:r>
      <w:r w:rsidR="00A52C14" w:rsidRPr="001A33AC">
        <w:rPr>
          <w:rFonts w:asciiTheme="minorHAnsi" w:eastAsiaTheme="minorHAnsi" w:hAnsiTheme="minorHAnsi" w:cstheme="minorBidi"/>
          <w:lang w:val="en-US" w:eastAsia="en-US"/>
        </w:rPr>
        <w:t>)</w:t>
      </w:r>
      <w:r w:rsidR="00A53108" w:rsidRPr="001A33AC">
        <w:rPr>
          <w:rFonts w:asciiTheme="minorHAnsi" w:eastAsiaTheme="minorHAnsi" w:hAnsiTheme="minorHAnsi" w:cstheme="minorBidi"/>
          <w:lang w:val="en-US" w:eastAsia="en-US"/>
        </w:rPr>
        <w:t xml:space="preserve">. </w:t>
      </w:r>
      <w:r w:rsidR="005234E7" w:rsidRPr="001A33AC">
        <w:rPr>
          <w:rFonts w:asciiTheme="minorHAnsi" w:eastAsiaTheme="minorHAnsi" w:hAnsiTheme="minorHAnsi" w:cstheme="minorBidi"/>
          <w:lang w:val="en-US" w:eastAsia="en-US"/>
        </w:rPr>
        <w:t xml:space="preserve">Those who are Deaf </w:t>
      </w:r>
      <w:r w:rsidR="00A53108" w:rsidRPr="001A33AC">
        <w:rPr>
          <w:rFonts w:asciiTheme="minorHAnsi" w:eastAsiaTheme="minorHAnsi" w:hAnsiTheme="minorHAnsi" w:cstheme="minorBidi"/>
          <w:lang w:val="en-US" w:eastAsia="en-US"/>
        </w:rPr>
        <w:t xml:space="preserve">and </w:t>
      </w:r>
      <w:r w:rsidR="005234E7" w:rsidRPr="001A33AC">
        <w:rPr>
          <w:rFonts w:asciiTheme="minorHAnsi" w:eastAsiaTheme="minorHAnsi" w:hAnsiTheme="minorHAnsi" w:cstheme="minorBidi"/>
          <w:lang w:val="en-US" w:eastAsia="en-US"/>
        </w:rPr>
        <w:t xml:space="preserve">primarily rely on ASL for communication have low written English literacy levels </w:t>
      </w:r>
      <w:r w:rsidR="005234E7" w:rsidRPr="001A33AC">
        <w:rPr>
          <w:rFonts w:asciiTheme="minorHAnsi" w:eastAsiaTheme="minorHAnsi" w:hAnsiTheme="minorHAnsi" w:cstheme="minorBidi"/>
          <w:lang w:val="en-US" w:eastAsia="en-US"/>
        </w:rPr>
        <w:fldChar w:fldCharType="begin"/>
      </w:r>
      <w:r w:rsidR="00AC15DC" w:rsidRPr="001A33AC">
        <w:rPr>
          <w:rFonts w:asciiTheme="minorHAnsi" w:eastAsiaTheme="minorHAnsi" w:hAnsiTheme="minorHAnsi" w:cstheme="minorBidi"/>
          <w:lang w:val="en-US" w:eastAsia="en-US"/>
        </w:rPr>
        <w:instrText xml:space="preserve"> ADDIN EN.CITE &lt;EndNote&gt;&lt;Cite&gt;&lt;Author&gt;Strong&lt;/Author&gt;&lt;Year&gt;1997&lt;/Year&gt;&lt;RecNum&gt;1408&lt;/RecNum&gt;&lt;DisplayText&gt;(Paul &amp;amp; Jackson, 1993; Strong &amp;amp; Prinz, 1997)&lt;/DisplayText&gt;&lt;record&gt;&lt;rec-number&gt;1408&lt;/rec-number&gt;&lt;foreign-keys&gt;&lt;key app="EN" db-id="rexdsvwd75fxr6ewxpcxfa0nra99fewv2awe" timestamp="1610566060"&gt;1408&lt;/key&gt;&lt;/foreign-keys&gt;&lt;ref-type name="Journal Article"&gt;17&lt;/ref-type&gt;&lt;contributors&gt;&lt;authors&gt;&lt;author&gt;Strong, Michael&lt;/author&gt;&lt;author&gt;Prinz, Philip M %J The Journal of Deaf Studies&lt;/author&gt;&lt;/authors&gt;&lt;/contributors&gt;&lt;titles&gt;&lt;title&gt;A study of the relationship between American Sign Language and English literacy&lt;/title&gt;&lt;secondary-title&gt; The Journal of Deaf Studies Deaf Education&lt;/secondary-title&gt;&lt;/titles&gt;&lt;pages&gt;37-46&lt;/pages&gt;&lt;volume&gt;2&lt;/volume&gt;&lt;number&gt;1&lt;/number&gt;&lt;dates&gt;&lt;year&gt;1997&lt;/year&gt;&lt;/dates&gt;&lt;isbn&gt;1465-7325&lt;/isbn&gt;&lt;urls&gt;&lt;/urls&gt;&lt;/record&gt;&lt;/Cite&gt;&lt;Cite&gt;&lt;Author&gt;Paul&lt;/Author&gt;&lt;Year&gt;1993&lt;/Year&gt;&lt;RecNum&gt;1410&lt;/RecNum&gt;&lt;record&gt;&lt;rec-number&gt;1410&lt;/rec-number&gt;&lt;foreign-keys&gt;&lt;key app="EN" db-id="rexdsvwd75fxr6ewxpcxfa0nra99fewv2awe" timestamp="1610566149"&gt;1410&lt;/key&gt;&lt;/foreign-keys&gt;&lt;ref-type name="Book"&gt;6&lt;/ref-type&gt;&lt;contributors&gt;&lt;authors&gt;&lt;author&gt;Paul, Peter V&lt;/author&gt;&lt;author&gt;Jackson, Dorothy W&lt;/author&gt;&lt;/authors&gt;&lt;/contributors&gt;&lt;titles&gt;&lt;title&gt;Toward a psychology of deafness: Theoretical and empirical perspectives&lt;/title&gt;&lt;/titles&gt;&lt;dates&gt;&lt;year&gt;1993&lt;/year&gt;&lt;/dates&gt;&lt;publisher&gt;Allyn &amp;amp; Bacon&lt;/publisher&gt;&lt;isbn&gt;0205141129&lt;/isbn&gt;&lt;urls&gt;&lt;/urls&gt;&lt;/record&gt;&lt;/Cite&gt;&lt;/EndNote&gt;</w:instrText>
      </w:r>
      <w:r w:rsidR="005234E7" w:rsidRPr="001A33AC">
        <w:rPr>
          <w:rFonts w:asciiTheme="minorHAnsi" w:eastAsiaTheme="minorHAnsi" w:hAnsiTheme="minorHAnsi" w:cstheme="minorBidi"/>
          <w:lang w:val="en-US" w:eastAsia="en-US"/>
        </w:rPr>
        <w:fldChar w:fldCharType="separate"/>
      </w:r>
      <w:r w:rsidR="00AC15DC" w:rsidRPr="001A33AC">
        <w:rPr>
          <w:rFonts w:asciiTheme="minorHAnsi" w:eastAsiaTheme="minorHAnsi" w:hAnsiTheme="minorHAnsi" w:cstheme="minorBidi"/>
          <w:lang w:val="en-US" w:eastAsia="en-US"/>
        </w:rPr>
        <w:t>(Paul &amp; Jackson, 1993; Strong &amp; Prinz, 1997)</w:t>
      </w:r>
      <w:r w:rsidR="005234E7" w:rsidRPr="001A33AC">
        <w:rPr>
          <w:rFonts w:asciiTheme="minorHAnsi" w:eastAsiaTheme="minorHAnsi" w:hAnsiTheme="minorHAnsi" w:cstheme="minorBidi"/>
          <w:lang w:val="en-US" w:eastAsia="en-US"/>
        </w:rPr>
        <w:fldChar w:fldCharType="end"/>
      </w:r>
      <w:r w:rsidR="005234E7" w:rsidRPr="001A33AC">
        <w:rPr>
          <w:rFonts w:asciiTheme="minorHAnsi" w:eastAsiaTheme="minorHAnsi" w:hAnsiTheme="minorHAnsi" w:cstheme="minorBidi"/>
          <w:lang w:val="en-US" w:eastAsia="en-US"/>
        </w:rPr>
        <w:t xml:space="preserve">, </w:t>
      </w:r>
      <w:r w:rsidR="00757657" w:rsidRPr="001A33AC">
        <w:rPr>
          <w:rFonts w:asciiTheme="minorHAnsi" w:eastAsiaTheme="minorHAnsi" w:hAnsiTheme="minorHAnsi" w:cstheme="minorBidi"/>
          <w:lang w:val="en-US" w:eastAsia="en-US"/>
        </w:rPr>
        <w:t xml:space="preserve">which presents barriers </w:t>
      </w:r>
      <w:r w:rsidR="00530745">
        <w:rPr>
          <w:rFonts w:asciiTheme="minorHAnsi" w:eastAsiaTheme="minorHAnsi" w:hAnsiTheme="minorHAnsi" w:cstheme="minorBidi"/>
          <w:lang w:val="en-US" w:eastAsia="en-US"/>
        </w:rPr>
        <w:t>to</w:t>
      </w:r>
      <w:r w:rsidR="00757657" w:rsidRPr="001A33AC">
        <w:rPr>
          <w:rFonts w:asciiTheme="minorHAnsi" w:eastAsiaTheme="minorHAnsi" w:hAnsiTheme="minorHAnsi" w:cstheme="minorBidi"/>
          <w:lang w:val="en-US" w:eastAsia="en-US"/>
        </w:rPr>
        <w:t xml:space="preserve"> understanding the </w:t>
      </w:r>
      <w:r w:rsidR="005234E7" w:rsidRPr="001A33AC">
        <w:rPr>
          <w:rFonts w:asciiTheme="minorHAnsi" w:eastAsiaTheme="minorHAnsi" w:hAnsiTheme="minorHAnsi" w:cstheme="minorBidi"/>
          <w:lang w:val="en-US" w:eastAsia="en-US"/>
        </w:rPr>
        <w:t>message content</w:t>
      </w:r>
      <w:r w:rsidR="00487C2F" w:rsidRPr="001A33AC">
        <w:rPr>
          <w:rFonts w:asciiTheme="minorHAnsi" w:eastAsiaTheme="minorHAnsi" w:hAnsiTheme="minorHAnsi" w:cstheme="minorBidi"/>
          <w:lang w:val="en-US" w:eastAsia="en-US"/>
        </w:rPr>
        <w:t>.</w:t>
      </w:r>
    </w:p>
    <w:p w14:paraId="7C1C6D7E" w14:textId="063CF008" w:rsidR="00F87116" w:rsidRPr="001A33AC" w:rsidRDefault="00F87116" w:rsidP="001A33AC">
      <w:pPr>
        <w:spacing w:after="120" w:line="276" w:lineRule="auto"/>
        <w:jc w:val="both"/>
        <w:rPr>
          <w:rFonts w:asciiTheme="minorHAnsi" w:eastAsiaTheme="minorHAnsi" w:hAnsiTheme="minorHAnsi" w:cstheme="minorBidi"/>
          <w:lang w:val="en-US" w:eastAsia="en-US"/>
        </w:rPr>
      </w:pPr>
      <w:r w:rsidRPr="001A33AC">
        <w:rPr>
          <w:rFonts w:asciiTheme="minorHAnsi" w:eastAsiaTheme="minorHAnsi" w:hAnsiTheme="minorHAnsi" w:cstheme="minorBidi"/>
          <w:lang w:val="en-US" w:eastAsia="en-US"/>
        </w:rPr>
        <w:t xml:space="preserve">This </w:t>
      </w:r>
      <w:r w:rsidR="00487C2F" w:rsidRPr="001A33AC">
        <w:rPr>
          <w:rFonts w:asciiTheme="minorHAnsi" w:eastAsiaTheme="minorHAnsi" w:hAnsiTheme="minorHAnsi" w:cstheme="minorBidi"/>
          <w:lang w:val="en-US" w:eastAsia="en-US"/>
        </w:rPr>
        <w:t>research brief</w:t>
      </w:r>
      <w:r w:rsidRPr="001A33AC">
        <w:rPr>
          <w:rFonts w:asciiTheme="minorHAnsi" w:eastAsiaTheme="minorHAnsi" w:hAnsiTheme="minorHAnsi" w:cstheme="minorBidi"/>
          <w:lang w:val="en-US" w:eastAsia="en-US"/>
        </w:rPr>
        <w:t xml:space="preserve"> reports on </w:t>
      </w:r>
      <w:r w:rsidR="00530745">
        <w:rPr>
          <w:rFonts w:asciiTheme="minorHAnsi" w:eastAsiaTheme="minorHAnsi" w:hAnsiTheme="minorHAnsi" w:cstheme="minorBidi"/>
          <w:lang w:val="en-US" w:eastAsia="en-US"/>
        </w:rPr>
        <w:t>developing</w:t>
      </w:r>
      <w:r w:rsidRPr="001A33AC">
        <w:rPr>
          <w:rFonts w:asciiTheme="minorHAnsi" w:eastAsiaTheme="minorHAnsi" w:hAnsiTheme="minorHAnsi" w:cstheme="minorBidi"/>
          <w:lang w:val="en-US" w:eastAsia="en-US"/>
        </w:rPr>
        <w:t xml:space="preserve"> a software app that demonstrates the technical feasibility of providing WEA messages in multiple formats</w:t>
      </w:r>
      <w:r w:rsidR="009E6D22" w:rsidRPr="001A33AC">
        <w:rPr>
          <w:rFonts w:asciiTheme="minorHAnsi" w:eastAsiaTheme="minorHAnsi" w:hAnsiTheme="minorHAnsi" w:cstheme="minorBidi"/>
          <w:lang w:val="en-US" w:eastAsia="en-US"/>
        </w:rPr>
        <w:t xml:space="preserve">, </w:t>
      </w:r>
      <w:r w:rsidR="000C1740" w:rsidRPr="001A33AC">
        <w:rPr>
          <w:rFonts w:asciiTheme="minorHAnsi" w:eastAsiaTheme="minorHAnsi" w:hAnsiTheme="minorHAnsi" w:cstheme="minorBidi"/>
          <w:lang w:val="en-US" w:eastAsia="en-US"/>
        </w:rPr>
        <w:t>namely</w:t>
      </w:r>
      <w:r w:rsidR="00D833C9" w:rsidRPr="001A33AC">
        <w:rPr>
          <w:rFonts w:asciiTheme="minorHAnsi" w:eastAsiaTheme="minorHAnsi" w:hAnsiTheme="minorHAnsi" w:cstheme="minorBidi"/>
          <w:lang w:val="en-US" w:eastAsia="en-US"/>
        </w:rPr>
        <w:t xml:space="preserve"> </w:t>
      </w:r>
      <w:r w:rsidR="00A52C14" w:rsidRPr="001A33AC">
        <w:rPr>
          <w:rFonts w:asciiTheme="minorHAnsi" w:eastAsiaTheme="minorHAnsi" w:hAnsiTheme="minorHAnsi" w:cstheme="minorBidi"/>
          <w:lang w:val="en-US" w:eastAsia="en-US"/>
        </w:rPr>
        <w:t>text-based messages, spoken messages, symbology</w:t>
      </w:r>
      <w:r w:rsidR="009A2D43" w:rsidRPr="001A33AC">
        <w:rPr>
          <w:rFonts w:asciiTheme="minorHAnsi" w:eastAsiaTheme="minorHAnsi" w:hAnsiTheme="minorHAnsi" w:cstheme="minorBidi"/>
          <w:lang w:val="en-US" w:eastAsia="en-US"/>
        </w:rPr>
        <w:t>,</w:t>
      </w:r>
      <w:r w:rsidR="00A52C14" w:rsidRPr="001A33AC">
        <w:rPr>
          <w:rFonts w:asciiTheme="minorHAnsi" w:eastAsiaTheme="minorHAnsi" w:hAnsiTheme="minorHAnsi" w:cstheme="minorBidi"/>
          <w:lang w:val="en-US" w:eastAsia="en-US"/>
        </w:rPr>
        <w:t xml:space="preserve"> and </w:t>
      </w:r>
      <w:r w:rsidR="009E6D22" w:rsidRPr="001A33AC">
        <w:rPr>
          <w:rFonts w:asciiTheme="minorHAnsi" w:eastAsiaTheme="minorHAnsi" w:hAnsiTheme="minorHAnsi" w:cstheme="minorBidi"/>
          <w:lang w:val="en-US" w:eastAsia="en-US"/>
        </w:rPr>
        <w:t xml:space="preserve">ASL video </w:t>
      </w:r>
      <w:r w:rsidR="00A52C14" w:rsidRPr="001A33AC">
        <w:rPr>
          <w:rFonts w:asciiTheme="minorHAnsi" w:eastAsiaTheme="minorHAnsi" w:hAnsiTheme="minorHAnsi" w:cstheme="minorBidi"/>
          <w:lang w:val="en-US" w:eastAsia="en-US"/>
        </w:rPr>
        <w:t xml:space="preserve">with </w:t>
      </w:r>
      <w:r w:rsidR="009E6D22" w:rsidRPr="001A33AC">
        <w:rPr>
          <w:rFonts w:asciiTheme="minorHAnsi" w:eastAsiaTheme="minorHAnsi" w:hAnsiTheme="minorHAnsi" w:cstheme="minorBidi"/>
          <w:lang w:val="en-US" w:eastAsia="en-US"/>
        </w:rPr>
        <w:t>captions</w:t>
      </w:r>
      <w:r w:rsidR="00D833C9" w:rsidRPr="001A33AC">
        <w:rPr>
          <w:rFonts w:asciiTheme="minorHAnsi" w:eastAsiaTheme="minorHAnsi" w:hAnsiTheme="minorHAnsi" w:cstheme="minorBidi"/>
          <w:lang w:val="en-US" w:eastAsia="en-US"/>
        </w:rPr>
        <w:t xml:space="preserve">, to </w:t>
      </w:r>
      <w:r w:rsidRPr="001A33AC">
        <w:rPr>
          <w:rFonts w:asciiTheme="minorHAnsi" w:eastAsiaTheme="minorHAnsi" w:hAnsiTheme="minorHAnsi" w:cstheme="minorBidi"/>
          <w:lang w:val="en-US" w:eastAsia="en-US"/>
        </w:rPr>
        <w:t>improve the accessibility of the messages for all receivers</w:t>
      </w:r>
      <w:r w:rsidR="009E6D22" w:rsidRPr="001A33AC">
        <w:rPr>
          <w:rFonts w:asciiTheme="minorHAnsi" w:eastAsiaTheme="minorHAnsi" w:hAnsiTheme="minorHAnsi" w:cstheme="minorBidi"/>
          <w:lang w:val="en-US" w:eastAsia="en-US"/>
        </w:rPr>
        <w:t xml:space="preserve">. The results of a usability study examining how people who are Deaf understand the emergency messages in multiple formats are </w:t>
      </w:r>
      <w:r w:rsidR="00E969E7" w:rsidRPr="001A33AC">
        <w:rPr>
          <w:rFonts w:asciiTheme="minorHAnsi" w:eastAsiaTheme="minorHAnsi" w:hAnsiTheme="minorHAnsi" w:cstheme="minorBidi"/>
          <w:lang w:val="en-US" w:eastAsia="en-US"/>
        </w:rPr>
        <w:t xml:space="preserve">also </w:t>
      </w:r>
      <w:r w:rsidR="009E6D22" w:rsidRPr="001A33AC">
        <w:rPr>
          <w:rFonts w:asciiTheme="minorHAnsi" w:eastAsiaTheme="minorHAnsi" w:hAnsiTheme="minorHAnsi" w:cstheme="minorBidi"/>
          <w:lang w:val="en-US" w:eastAsia="en-US"/>
        </w:rPr>
        <w:t xml:space="preserve">described.  </w:t>
      </w:r>
    </w:p>
    <w:p w14:paraId="0941E56F" w14:textId="60BBE9D0" w:rsidR="00E969E7" w:rsidRPr="001A33AC" w:rsidRDefault="00E969E7" w:rsidP="001A33AC">
      <w:pPr>
        <w:pStyle w:val="Heading1"/>
        <w:keepLines/>
        <w:spacing w:before="240" w:after="0" w:line="240" w:lineRule="auto"/>
        <w:ind w:right="0"/>
        <w:contextualSpacing w:val="0"/>
        <w:rPr>
          <w:rFonts w:asciiTheme="minorHAnsi" w:eastAsiaTheme="majorEastAsia" w:hAnsiTheme="minorHAnsi" w:cstheme="minorHAnsi"/>
          <w:bCs w:val="0"/>
          <w:kern w:val="0"/>
          <w:sz w:val="28"/>
          <w:szCs w:val="24"/>
          <w:lang w:val="en-US" w:eastAsia="en-US"/>
        </w:rPr>
      </w:pPr>
      <w:r w:rsidRPr="001A33AC">
        <w:rPr>
          <w:rFonts w:asciiTheme="minorHAnsi" w:eastAsiaTheme="majorEastAsia" w:hAnsiTheme="minorHAnsi" w:cstheme="minorHAnsi"/>
          <w:bCs w:val="0"/>
          <w:kern w:val="0"/>
          <w:sz w:val="28"/>
          <w:szCs w:val="24"/>
          <w:lang w:val="en-US" w:eastAsia="en-US"/>
        </w:rPr>
        <w:t>Development Process</w:t>
      </w:r>
    </w:p>
    <w:p w14:paraId="35DB897A" w14:textId="40D5B7FD" w:rsidR="00626E43" w:rsidRPr="00C64746" w:rsidRDefault="00C35439" w:rsidP="00C64746">
      <w:pPr>
        <w:spacing w:after="120" w:line="276" w:lineRule="auto"/>
        <w:jc w:val="both"/>
        <w:rPr>
          <w:rFonts w:asciiTheme="minorHAnsi" w:eastAsiaTheme="minorHAnsi" w:hAnsiTheme="minorHAnsi" w:cstheme="minorBidi"/>
          <w:lang w:val="en-US" w:eastAsia="en-US"/>
        </w:rPr>
      </w:pPr>
      <w:r w:rsidRPr="00C64746">
        <w:rPr>
          <w:rFonts w:asciiTheme="minorHAnsi" w:eastAsiaTheme="minorHAnsi" w:hAnsiTheme="minorHAnsi" w:cstheme="minorBidi"/>
          <w:lang w:val="en-US" w:eastAsia="en-US"/>
        </w:rPr>
        <w:t xml:space="preserve">The team produced the Wireless Emergency Alert </w:t>
      </w:r>
      <w:r w:rsidR="00FA68BC" w:rsidRPr="00C64746">
        <w:rPr>
          <w:rFonts w:asciiTheme="minorHAnsi" w:eastAsiaTheme="minorHAnsi" w:hAnsiTheme="minorHAnsi" w:cstheme="minorBidi"/>
          <w:lang w:val="en-US" w:eastAsia="en-US"/>
        </w:rPr>
        <w:t xml:space="preserve">– Video Platform (WEA-VP), </w:t>
      </w:r>
      <w:r w:rsidRPr="00C64746">
        <w:rPr>
          <w:rFonts w:asciiTheme="minorHAnsi" w:eastAsiaTheme="minorHAnsi" w:hAnsiTheme="minorHAnsi" w:cstheme="minorBidi"/>
          <w:lang w:val="en-US" w:eastAsia="en-US"/>
        </w:rPr>
        <w:t>a smartphone application (App)</w:t>
      </w:r>
      <w:r w:rsidR="00FA68BC" w:rsidRPr="00C64746">
        <w:rPr>
          <w:rFonts w:asciiTheme="minorHAnsi" w:eastAsiaTheme="minorHAnsi" w:hAnsiTheme="minorHAnsi" w:cstheme="minorBidi"/>
          <w:lang w:val="en-US" w:eastAsia="en-US"/>
        </w:rPr>
        <w:t xml:space="preserve">. The goal of the WEA-VP was to provide WEA message content in multiple accessible formats to make it accessible to people with a variety of disabilities. </w:t>
      </w:r>
      <w:r w:rsidR="00A52C14" w:rsidRPr="00C64746">
        <w:rPr>
          <w:rFonts w:asciiTheme="minorHAnsi" w:eastAsiaTheme="minorHAnsi" w:hAnsiTheme="minorHAnsi" w:cstheme="minorBidi"/>
          <w:lang w:val="en-US" w:eastAsia="en-US"/>
        </w:rPr>
        <w:t xml:space="preserve">The App was developed with Android Studio for the Android Operating System. This platform was selected as it remains significantly more open to development than the Apple IOS (formerly iPhone Operating System).  </w:t>
      </w:r>
    </w:p>
    <w:p w14:paraId="6D4121EB" w14:textId="257E43CB" w:rsidR="00626E43" w:rsidRPr="00147ADB" w:rsidRDefault="00626E43" w:rsidP="00147ADB">
      <w:pPr>
        <w:spacing w:after="120" w:line="276" w:lineRule="auto"/>
        <w:jc w:val="both"/>
        <w:rPr>
          <w:rFonts w:asciiTheme="minorHAnsi" w:eastAsiaTheme="minorHAnsi" w:hAnsiTheme="minorHAnsi" w:cstheme="minorBidi"/>
          <w:lang w:val="en-US" w:eastAsia="en-US"/>
        </w:rPr>
      </w:pPr>
      <w:r w:rsidRPr="00147ADB">
        <w:rPr>
          <w:rFonts w:asciiTheme="minorHAnsi" w:eastAsiaTheme="minorHAnsi" w:hAnsiTheme="minorHAnsi" w:cstheme="minorBidi"/>
          <w:lang w:val="en-US" w:eastAsia="en-US"/>
        </w:rPr>
        <w:t xml:space="preserve">The ASL video creation process </w:t>
      </w:r>
      <w:r w:rsidR="00942DC6">
        <w:rPr>
          <w:rFonts w:asciiTheme="minorHAnsi" w:eastAsiaTheme="minorHAnsi" w:hAnsiTheme="minorHAnsi" w:cstheme="minorBidi"/>
          <w:lang w:val="en-US" w:eastAsia="en-US"/>
        </w:rPr>
        <w:t>utilized</w:t>
      </w:r>
      <w:r w:rsidRPr="00147ADB">
        <w:rPr>
          <w:rFonts w:asciiTheme="minorHAnsi" w:eastAsiaTheme="minorHAnsi" w:hAnsiTheme="minorHAnsi" w:cstheme="minorBidi"/>
          <w:lang w:val="en-US" w:eastAsia="en-US"/>
        </w:rPr>
        <w:t xml:space="preserve"> the Common Alerting Protocol </w:t>
      </w:r>
      <w:r w:rsidR="00580DE8" w:rsidRPr="00147ADB">
        <w:rPr>
          <w:rFonts w:asciiTheme="minorHAnsi" w:eastAsiaTheme="minorHAnsi" w:hAnsiTheme="minorHAnsi" w:cstheme="minorBidi"/>
          <w:lang w:val="en-US" w:eastAsia="en-US"/>
        </w:rPr>
        <w:t xml:space="preserve">(CAP) </w:t>
      </w:r>
      <w:r w:rsidRPr="00147ADB">
        <w:rPr>
          <w:rFonts w:asciiTheme="minorHAnsi" w:eastAsiaTheme="minorHAnsi" w:hAnsiTheme="minorHAnsi" w:cstheme="minorBidi"/>
          <w:lang w:val="en-US" w:eastAsia="en-US"/>
        </w:rPr>
        <w:t>to streamline message generation. The team recorded and captioned individual videos for 28 events and seven (7) protective actions</w:t>
      </w:r>
      <w:r w:rsidR="00942DC6">
        <w:rPr>
          <w:rFonts w:asciiTheme="minorHAnsi" w:eastAsiaTheme="minorHAnsi" w:hAnsiTheme="minorHAnsi" w:cstheme="minorBidi"/>
          <w:lang w:val="en-US" w:eastAsia="en-US"/>
        </w:rPr>
        <w:t xml:space="preserve"> and</w:t>
      </w:r>
      <w:r w:rsidRPr="00147ADB">
        <w:rPr>
          <w:rFonts w:asciiTheme="minorHAnsi" w:eastAsiaTheme="minorHAnsi" w:hAnsiTheme="minorHAnsi" w:cstheme="minorBidi"/>
          <w:lang w:val="en-US" w:eastAsia="en-US"/>
        </w:rPr>
        <w:t xml:space="preserve"> event times th</w:t>
      </w:r>
      <w:r w:rsidR="0093274B" w:rsidRPr="00147ADB">
        <w:rPr>
          <w:rFonts w:asciiTheme="minorHAnsi" w:eastAsiaTheme="minorHAnsi" w:hAnsiTheme="minorHAnsi" w:cstheme="minorBidi"/>
          <w:lang w:val="en-US" w:eastAsia="en-US"/>
        </w:rPr>
        <w:t>at</w:t>
      </w:r>
      <w:r w:rsidRPr="00147ADB">
        <w:rPr>
          <w:rFonts w:asciiTheme="minorHAnsi" w:eastAsiaTheme="minorHAnsi" w:hAnsiTheme="minorHAnsi" w:cstheme="minorBidi"/>
          <w:lang w:val="en-US" w:eastAsia="en-US"/>
        </w:rPr>
        <w:t xml:space="preserve"> represented 15-minute increments throughout a </w:t>
      </w:r>
      <w:r w:rsidR="00580DE8" w:rsidRPr="00147ADB">
        <w:rPr>
          <w:rFonts w:asciiTheme="minorHAnsi" w:eastAsiaTheme="minorHAnsi" w:hAnsiTheme="minorHAnsi" w:cstheme="minorBidi"/>
          <w:lang w:val="en-US" w:eastAsia="en-US"/>
        </w:rPr>
        <w:t>24-hour</w:t>
      </w:r>
      <w:r w:rsidRPr="00147ADB">
        <w:rPr>
          <w:rFonts w:asciiTheme="minorHAnsi" w:eastAsiaTheme="minorHAnsi" w:hAnsiTheme="minorHAnsi" w:cstheme="minorBidi"/>
          <w:lang w:val="en-US" w:eastAsia="en-US"/>
        </w:rPr>
        <w:t xml:space="preserve"> day. Each of </w:t>
      </w:r>
      <w:r w:rsidR="00580DE8" w:rsidRPr="00147ADB">
        <w:rPr>
          <w:rFonts w:asciiTheme="minorHAnsi" w:eastAsiaTheme="minorHAnsi" w:hAnsiTheme="minorHAnsi" w:cstheme="minorBidi"/>
          <w:lang w:val="en-US" w:eastAsia="en-US"/>
        </w:rPr>
        <w:t>these videos</w:t>
      </w:r>
      <w:r w:rsidRPr="00147ADB">
        <w:rPr>
          <w:rFonts w:asciiTheme="minorHAnsi" w:eastAsiaTheme="minorHAnsi" w:hAnsiTheme="minorHAnsi" w:cstheme="minorBidi"/>
          <w:lang w:val="en-US" w:eastAsia="en-US"/>
        </w:rPr>
        <w:t xml:space="preserve"> was trimmed </w:t>
      </w:r>
      <w:r w:rsidR="00580DE8" w:rsidRPr="00147ADB">
        <w:rPr>
          <w:rFonts w:asciiTheme="minorHAnsi" w:eastAsiaTheme="minorHAnsi" w:hAnsiTheme="minorHAnsi" w:cstheme="minorBidi"/>
          <w:lang w:val="en-US" w:eastAsia="en-US"/>
        </w:rPr>
        <w:t xml:space="preserve">so that they could be assembled and streamed as a single, seamless video. As a result, with the creation of 35 short videos, the WEA-VP could display any of </w:t>
      </w:r>
      <w:r w:rsidR="003E0A1A" w:rsidRPr="00147ADB">
        <w:rPr>
          <w:rFonts w:asciiTheme="minorHAnsi" w:eastAsiaTheme="minorHAnsi" w:hAnsiTheme="minorHAnsi" w:cstheme="minorBidi"/>
          <w:lang w:val="en-US" w:eastAsia="en-US"/>
        </w:rPr>
        <w:t xml:space="preserve">129 </w:t>
      </w:r>
      <w:r w:rsidR="00580DE8" w:rsidRPr="00147ADB">
        <w:rPr>
          <w:rFonts w:asciiTheme="minorHAnsi" w:eastAsiaTheme="minorHAnsi" w:hAnsiTheme="minorHAnsi" w:cstheme="minorBidi"/>
          <w:lang w:val="en-US" w:eastAsia="en-US"/>
        </w:rPr>
        <w:t xml:space="preserve">event / protective action combinations that could be sent through </w:t>
      </w:r>
      <w:r w:rsidR="0093274B" w:rsidRPr="00147ADB">
        <w:rPr>
          <w:rFonts w:asciiTheme="minorHAnsi" w:eastAsiaTheme="minorHAnsi" w:hAnsiTheme="minorHAnsi" w:cstheme="minorBidi"/>
          <w:lang w:val="en-US" w:eastAsia="en-US"/>
        </w:rPr>
        <w:t xml:space="preserve">the </w:t>
      </w:r>
      <w:r w:rsidR="001F6DA9" w:rsidRPr="00147ADB">
        <w:rPr>
          <w:rFonts w:asciiTheme="minorHAnsi" w:eastAsiaTheme="minorHAnsi" w:hAnsiTheme="minorHAnsi" w:cstheme="minorBidi"/>
          <w:lang w:val="en-US" w:eastAsia="en-US"/>
        </w:rPr>
        <w:t>platform</w:t>
      </w:r>
      <w:r w:rsidR="00580DE8" w:rsidRPr="00147ADB">
        <w:rPr>
          <w:rFonts w:asciiTheme="minorHAnsi" w:eastAsiaTheme="minorHAnsi" w:hAnsiTheme="minorHAnsi" w:cstheme="minorBidi"/>
          <w:lang w:val="en-US" w:eastAsia="en-US"/>
        </w:rPr>
        <w:t xml:space="preserve">.  </w:t>
      </w:r>
    </w:p>
    <w:p w14:paraId="35BF5E4A" w14:textId="2B011B90" w:rsidR="002C046E" w:rsidRPr="00343DC7" w:rsidRDefault="003E0A1A" w:rsidP="00D42D79">
      <w:pPr>
        <w:spacing w:after="120" w:line="276" w:lineRule="auto"/>
        <w:jc w:val="both"/>
        <w:rPr>
          <w:rFonts w:asciiTheme="minorHAnsi" w:hAnsiTheme="minorHAnsi" w:cstheme="minorHAnsi"/>
          <w:lang w:val="en-US"/>
        </w:rPr>
      </w:pPr>
      <w:r w:rsidRPr="00147ADB">
        <w:rPr>
          <w:rFonts w:asciiTheme="minorHAnsi" w:eastAsiaTheme="minorHAnsi" w:hAnsiTheme="minorHAnsi" w:cstheme="minorBidi"/>
          <w:lang w:val="en-US" w:eastAsia="en-US"/>
        </w:rPr>
        <w:t xml:space="preserve">The WEA-VP </w:t>
      </w:r>
      <w:r w:rsidR="00CF42AB" w:rsidRPr="00147ADB">
        <w:rPr>
          <w:rFonts w:asciiTheme="minorHAnsi" w:eastAsiaTheme="minorHAnsi" w:hAnsiTheme="minorHAnsi" w:cstheme="minorBidi"/>
          <w:lang w:val="en-US" w:eastAsia="en-US"/>
        </w:rPr>
        <w:t xml:space="preserve">was developed to be phone-based rather than </w:t>
      </w:r>
      <w:r w:rsidR="0093274B" w:rsidRPr="00147ADB">
        <w:rPr>
          <w:rFonts w:asciiTheme="minorHAnsi" w:eastAsiaTheme="minorHAnsi" w:hAnsiTheme="minorHAnsi" w:cstheme="minorBidi"/>
          <w:lang w:val="en-US" w:eastAsia="en-US"/>
        </w:rPr>
        <w:t xml:space="preserve">a </w:t>
      </w:r>
      <w:r w:rsidR="00CF42AB" w:rsidRPr="00147ADB">
        <w:rPr>
          <w:rFonts w:asciiTheme="minorHAnsi" w:eastAsiaTheme="minorHAnsi" w:hAnsiTheme="minorHAnsi" w:cstheme="minorBidi"/>
          <w:lang w:val="en-US" w:eastAsia="en-US"/>
        </w:rPr>
        <w:t xml:space="preserve">web-based App. The phone-based </w:t>
      </w:r>
      <w:r w:rsidR="00942DC6">
        <w:rPr>
          <w:rFonts w:asciiTheme="minorHAnsi" w:eastAsiaTheme="minorHAnsi" w:hAnsiTheme="minorHAnsi" w:cstheme="minorBidi"/>
          <w:lang w:val="en-US" w:eastAsia="en-US"/>
        </w:rPr>
        <w:t>a</w:t>
      </w:r>
      <w:r w:rsidR="00CF42AB" w:rsidRPr="00147ADB">
        <w:rPr>
          <w:rFonts w:asciiTheme="minorHAnsi" w:eastAsiaTheme="minorHAnsi" w:hAnsiTheme="minorHAnsi" w:cstheme="minorBidi"/>
          <w:lang w:val="en-US" w:eastAsia="en-US"/>
        </w:rPr>
        <w:t xml:space="preserve">pp has a few critical advantages </w:t>
      </w:r>
      <w:r w:rsidR="0094714F" w:rsidRPr="00147ADB">
        <w:rPr>
          <w:rFonts w:asciiTheme="minorHAnsi" w:eastAsiaTheme="minorHAnsi" w:hAnsiTheme="minorHAnsi" w:cstheme="minorBidi"/>
          <w:lang w:val="en-US" w:eastAsia="en-US"/>
        </w:rPr>
        <w:t>relate</w:t>
      </w:r>
      <w:r w:rsidR="00404603">
        <w:rPr>
          <w:rFonts w:asciiTheme="minorHAnsi" w:eastAsiaTheme="minorHAnsi" w:hAnsiTheme="minorHAnsi" w:cstheme="minorBidi"/>
          <w:lang w:val="en-US" w:eastAsia="en-US"/>
        </w:rPr>
        <w:t>d</w:t>
      </w:r>
      <w:r w:rsidR="0094714F" w:rsidRPr="00147ADB">
        <w:rPr>
          <w:rFonts w:asciiTheme="minorHAnsi" w:eastAsiaTheme="minorHAnsi" w:hAnsiTheme="minorHAnsi" w:cstheme="minorBidi"/>
          <w:lang w:val="en-US" w:eastAsia="en-US"/>
        </w:rPr>
        <w:t xml:space="preserve"> to the ability of a phone-based App to trigger from the incoming WEA message.</w:t>
      </w:r>
      <w:r w:rsidR="00404603">
        <w:rPr>
          <w:rFonts w:asciiTheme="minorHAnsi" w:eastAsiaTheme="minorHAnsi" w:hAnsiTheme="minorHAnsi" w:cstheme="minorBidi"/>
          <w:lang w:val="en-US" w:eastAsia="en-US"/>
        </w:rPr>
        <w:t xml:space="preserve"> T</w:t>
      </w:r>
      <w:r w:rsidR="0094714F" w:rsidRPr="00147ADB">
        <w:rPr>
          <w:rFonts w:asciiTheme="minorHAnsi" w:eastAsiaTheme="minorHAnsi" w:hAnsiTheme="minorHAnsi" w:cstheme="minorBidi"/>
          <w:lang w:val="en-US" w:eastAsia="en-US"/>
        </w:rPr>
        <w:t>riggering from the incoming WEA message allows the WEA-VP App to take advantage of WEA geotargeting</w:t>
      </w:r>
      <w:r w:rsidR="0059427E" w:rsidRPr="00147ADB">
        <w:rPr>
          <w:rFonts w:asciiTheme="minorHAnsi" w:eastAsiaTheme="minorHAnsi" w:hAnsiTheme="minorHAnsi" w:cstheme="minorBidi"/>
          <w:lang w:val="en-US" w:eastAsia="en-US"/>
        </w:rPr>
        <w:t xml:space="preserve"> and initiate a video sequence played from the phone, rather than requiring streaming of video components from a web</w:t>
      </w:r>
      <w:r w:rsidR="00343DC7">
        <w:rPr>
          <w:rFonts w:asciiTheme="minorHAnsi" w:eastAsiaTheme="minorHAnsi" w:hAnsiTheme="minorHAnsi" w:cstheme="minorBidi"/>
          <w:lang w:val="en-US" w:eastAsia="en-US"/>
        </w:rPr>
        <w:t xml:space="preserve"> </w:t>
      </w:r>
      <w:r w:rsidR="0059427E" w:rsidRPr="00147ADB">
        <w:rPr>
          <w:rFonts w:asciiTheme="minorHAnsi" w:eastAsiaTheme="minorHAnsi" w:hAnsiTheme="minorHAnsi" w:cstheme="minorBidi"/>
          <w:lang w:val="en-US" w:eastAsia="en-US"/>
        </w:rPr>
        <w:t xml:space="preserve">platform. </w:t>
      </w:r>
      <w:r w:rsidR="000827E8" w:rsidRPr="00147ADB">
        <w:rPr>
          <w:rFonts w:asciiTheme="minorHAnsi" w:eastAsiaTheme="minorHAnsi" w:hAnsiTheme="minorHAnsi" w:cstheme="minorBidi"/>
          <w:lang w:val="en-US" w:eastAsia="en-US"/>
        </w:rPr>
        <w:t>The</w:t>
      </w:r>
      <w:r w:rsidR="008427EF" w:rsidRPr="00147ADB">
        <w:rPr>
          <w:rFonts w:asciiTheme="minorHAnsi" w:eastAsiaTheme="minorHAnsi" w:hAnsiTheme="minorHAnsi" w:cstheme="minorBidi"/>
          <w:lang w:val="en-US" w:eastAsia="en-US"/>
        </w:rPr>
        <w:t xml:space="preserve"> videos and symbols need to be stored on the phone, which takes up data</w:t>
      </w:r>
      <w:r w:rsidR="00343DC7">
        <w:rPr>
          <w:rFonts w:asciiTheme="minorHAnsi" w:eastAsiaTheme="minorHAnsi" w:hAnsiTheme="minorHAnsi" w:cstheme="minorBidi"/>
          <w:lang w:val="en-US" w:eastAsia="en-US"/>
        </w:rPr>
        <w:t xml:space="preserve"> </w:t>
      </w:r>
      <w:r w:rsidR="008427EF" w:rsidRPr="00147ADB">
        <w:rPr>
          <w:rFonts w:asciiTheme="minorHAnsi" w:eastAsiaTheme="minorHAnsi" w:hAnsiTheme="minorHAnsi" w:cstheme="minorBidi"/>
          <w:lang w:val="en-US" w:eastAsia="en-US"/>
        </w:rPr>
        <w:t>space for the user</w:t>
      </w:r>
      <w:r w:rsidR="00D42D79">
        <w:rPr>
          <w:rFonts w:asciiTheme="minorHAnsi" w:eastAsiaTheme="minorHAnsi" w:hAnsiTheme="minorHAnsi" w:cstheme="minorBidi"/>
          <w:lang w:val="en-US" w:eastAsia="en-US"/>
        </w:rPr>
        <w:t>.</w:t>
      </w:r>
      <w:r w:rsidR="00E5416F">
        <w:rPr>
          <w:rFonts w:asciiTheme="minorHAnsi" w:eastAsiaTheme="minorHAnsi" w:hAnsiTheme="minorHAnsi" w:cstheme="minorBidi"/>
          <w:lang w:val="en-US" w:eastAsia="en-US"/>
        </w:rPr>
        <w:t xml:space="preserve"> </w:t>
      </w:r>
      <w:r w:rsidR="00E5416F" w:rsidRPr="00343DC7">
        <w:rPr>
          <w:rFonts w:asciiTheme="minorHAnsi" w:eastAsiaTheme="minorHAnsi" w:hAnsiTheme="minorHAnsi" w:cstheme="minorHAnsi"/>
          <w:lang w:val="en-US" w:eastAsia="en-US"/>
        </w:rPr>
        <w:t>T</w:t>
      </w:r>
      <w:r w:rsidR="002C046E" w:rsidRPr="00343DC7">
        <w:rPr>
          <w:rFonts w:asciiTheme="minorHAnsi" w:hAnsiTheme="minorHAnsi" w:cstheme="minorHAnsi"/>
          <w:lang w:val="en-US"/>
        </w:rPr>
        <w:t>he team developed a web portal subscription service to develop, test, and demonstrate the technical feasibility of being able to trigger the App from an external signal. The web</w:t>
      </w:r>
      <w:r w:rsidR="001E237B" w:rsidRPr="00343DC7">
        <w:rPr>
          <w:rFonts w:asciiTheme="minorHAnsi" w:hAnsiTheme="minorHAnsi" w:cstheme="minorHAnsi"/>
          <w:lang w:val="en-US"/>
        </w:rPr>
        <w:t xml:space="preserve"> </w:t>
      </w:r>
      <w:r w:rsidR="002C046E" w:rsidRPr="00343DC7">
        <w:rPr>
          <w:rFonts w:asciiTheme="minorHAnsi" w:hAnsiTheme="minorHAnsi" w:cstheme="minorHAnsi"/>
          <w:lang w:val="en-US"/>
        </w:rPr>
        <w:t>portal was designed to send a text message to phones subscribed to the App. Upon recei</w:t>
      </w:r>
      <w:r w:rsidR="00E0045D">
        <w:rPr>
          <w:rFonts w:asciiTheme="minorHAnsi" w:hAnsiTheme="minorHAnsi" w:cstheme="minorHAnsi"/>
          <w:lang w:val="en-US"/>
        </w:rPr>
        <w:t>ving</w:t>
      </w:r>
      <w:r w:rsidR="002C046E" w:rsidRPr="00343DC7">
        <w:rPr>
          <w:rFonts w:asciiTheme="minorHAnsi" w:hAnsiTheme="minorHAnsi" w:cstheme="minorHAnsi"/>
          <w:lang w:val="en-US"/>
        </w:rPr>
        <w:t xml:space="preserve"> the text message, the App would decode the event, time, and action codes and display an emergency message </w:t>
      </w:r>
      <w:r w:rsidR="002C046E" w:rsidRPr="00343DC7">
        <w:rPr>
          <w:rFonts w:asciiTheme="minorHAnsi" w:hAnsiTheme="minorHAnsi" w:cstheme="minorHAnsi"/>
          <w:lang w:val="en-US"/>
        </w:rPr>
        <w:lastRenderedPageBreak/>
        <w:t xml:space="preserve">using the formats selected by the end-user. The web portal </w:t>
      </w:r>
      <w:r w:rsidR="001E237B" w:rsidRPr="00343DC7">
        <w:rPr>
          <w:rFonts w:asciiTheme="minorHAnsi" w:hAnsiTheme="minorHAnsi" w:cstheme="minorHAnsi"/>
          <w:lang w:val="en-US"/>
        </w:rPr>
        <w:t xml:space="preserve">employed a graphical user interface (GUI) to select the CAP components and send the messages.  </w:t>
      </w:r>
    </w:p>
    <w:p w14:paraId="7FCD63E6" w14:textId="0782F307" w:rsidR="008B2EDE" w:rsidRPr="00C5005C" w:rsidRDefault="00701343" w:rsidP="00C5005C">
      <w:pPr>
        <w:pStyle w:val="Heading1"/>
        <w:keepLines/>
        <w:spacing w:before="240" w:after="0" w:line="240" w:lineRule="auto"/>
        <w:ind w:right="0"/>
        <w:contextualSpacing w:val="0"/>
        <w:rPr>
          <w:rFonts w:asciiTheme="minorHAnsi" w:eastAsiaTheme="majorEastAsia" w:hAnsiTheme="minorHAnsi" w:cstheme="minorHAnsi"/>
          <w:bCs w:val="0"/>
          <w:kern w:val="0"/>
          <w:sz w:val="28"/>
          <w:szCs w:val="24"/>
          <w:lang w:val="en-US" w:eastAsia="en-US"/>
        </w:rPr>
      </w:pPr>
      <w:r w:rsidRPr="00C5005C">
        <w:rPr>
          <w:rFonts w:asciiTheme="minorHAnsi" w:eastAsiaTheme="majorEastAsia" w:hAnsiTheme="minorHAnsi" w:cstheme="minorHAnsi"/>
          <w:bCs w:val="0"/>
          <w:kern w:val="0"/>
          <w:sz w:val="28"/>
          <w:szCs w:val="24"/>
          <w:lang w:val="en-US" w:eastAsia="en-US"/>
        </w:rPr>
        <w:t>Usabil</w:t>
      </w:r>
      <w:r w:rsidR="00E969E7" w:rsidRPr="00C5005C">
        <w:rPr>
          <w:rFonts w:asciiTheme="minorHAnsi" w:eastAsiaTheme="majorEastAsia" w:hAnsiTheme="minorHAnsi" w:cstheme="minorHAnsi"/>
          <w:bCs w:val="0"/>
          <w:kern w:val="0"/>
          <w:sz w:val="28"/>
          <w:szCs w:val="24"/>
          <w:lang w:val="en-US" w:eastAsia="en-US"/>
        </w:rPr>
        <w:t xml:space="preserve">ity Testing </w:t>
      </w:r>
    </w:p>
    <w:p w14:paraId="6156EDEA" w14:textId="6A1C87BF" w:rsidR="0022350B" w:rsidRDefault="00454905" w:rsidP="0022350B">
      <w:pPr>
        <w:spacing w:after="120" w:line="276" w:lineRule="auto"/>
        <w:jc w:val="both"/>
        <w:rPr>
          <w:rFonts w:asciiTheme="minorHAnsi" w:eastAsiaTheme="minorHAnsi" w:hAnsiTheme="minorHAnsi" w:cstheme="minorBidi"/>
          <w:lang w:val="en-US" w:eastAsia="en-US"/>
        </w:rPr>
      </w:pPr>
      <w:r w:rsidRPr="00C5005C">
        <w:rPr>
          <w:rFonts w:asciiTheme="minorHAnsi" w:eastAsiaTheme="minorHAnsi" w:hAnsiTheme="minorHAnsi" w:cstheme="minorBidi"/>
          <w:lang w:val="en-US" w:eastAsia="en-US"/>
        </w:rPr>
        <w:t>T</w:t>
      </w:r>
      <w:r w:rsidR="007C0255" w:rsidRPr="00C5005C">
        <w:rPr>
          <w:rFonts w:asciiTheme="minorHAnsi" w:eastAsiaTheme="minorHAnsi" w:hAnsiTheme="minorHAnsi" w:cstheme="minorBidi"/>
          <w:lang w:val="en-US" w:eastAsia="en-US"/>
        </w:rPr>
        <w:t>he App seeks to provide increased message compreh</w:t>
      </w:r>
      <w:r w:rsidRPr="00C5005C">
        <w:rPr>
          <w:rFonts w:asciiTheme="minorHAnsi" w:eastAsiaTheme="minorHAnsi" w:hAnsiTheme="minorHAnsi" w:cstheme="minorBidi"/>
          <w:lang w:val="en-US" w:eastAsia="en-US"/>
        </w:rPr>
        <w:t xml:space="preserve">ension through accessibility enhancements. </w:t>
      </w:r>
      <w:r w:rsidR="00CC1F49" w:rsidRPr="00C5005C">
        <w:rPr>
          <w:rFonts w:asciiTheme="minorHAnsi" w:eastAsiaTheme="minorHAnsi" w:hAnsiTheme="minorHAnsi" w:cstheme="minorBidi"/>
          <w:lang w:val="en-US" w:eastAsia="en-US"/>
        </w:rPr>
        <w:t xml:space="preserve">Two of these accessibility enhancements (symbology and ASL WEA videos) would potentially increase comprehension for those who </w:t>
      </w:r>
      <w:r w:rsidR="00C34622">
        <w:rPr>
          <w:rFonts w:asciiTheme="minorHAnsi" w:eastAsiaTheme="minorHAnsi" w:hAnsiTheme="minorHAnsi" w:cstheme="minorBidi"/>
          <w:lang w:val="en-US" w:eastAsia="en-US"/>
        </w:rPr>
        <w:t>a</w:t>
      </w:r>
      <w:r w:rsidR="00CC1F49" w:rsidRPr="00C5005C">
        <w:rPr>
          <w:rFonts w:asciiTheme="minorHAnsi" w:eastAsiaTheme="minorHAnsi" w:hAnsiTheme="minorHAnsi" w:cstheme="minorBidi"/>
          <w:lang w:val="en-US" w:eastAsia="en-US"/>
        </w:rPr>
        <w:t xml:space="preserve">re Deaf and use ASL for communication. </w:t>
      </w:r>
      <w:r w:rsidR="00A96F7D" w:rsidRPr="00C5005C">
        <w:rPr>
          <w:rFonts w:asciiTheme="minorHAnsi" w:eastAsiaTheme="minorHAnsi" w:hAnsiTheme="minorHAnsi" w:cstheme="minorBidi"/>
          <w:lang w:val="en-US" w:eastAsia="en-US"/>
        </w:rPr>
        <w:t xml:space="preserve">Upon completion of the development of the App, a study was conducted to determine whether and how accessibility enhancements impacted message comprehension for those who </w:t>
      </w:r>
      <w:r w:rsidR="00C34622">
        <w:rPr>
          <w:rFonts w:asciiTheme="minorHAnsi" w:eastAsiaTheme="minorHAnsi" w:hAnsiTheme="minorHAnsi" w:cstheme="minorBidi"/>
          <w:lang w:val="en-US" w:eastAsia="en-US"/>
        </w:rPr>
        <w:t>are</w:t>
      </w:r>
      <w:r w:rsidR="00A96F7D" w:rsidRPr="00C5005C">
        <w:rPr>
          <w:rFonts w:asciiTheme="minorHAnsi" w:eastAsiaTheme="minorHAnsi" w:hAnsiTheme="minorHAnsi" w:cstheme="minorBidi"/>
          <w:lang w:val="en-US" w:eastAsia="en-US"/>
        </w:rPr>
        <w:t xml:space="preserve"> Deaf.  </w:t>
      </w:r>
      <w:r w:rsidR="00CC1F49" w:rsidRPr="00C5005C">
        <w:rPr>
          <w:rFonts w:asciiTheme="minorHAnsi" w:eastAsiaTheme="minorHAnsi" w:hAnsiTheme="minorHAnsi" w:cstheme="minorBidi"/>
          <w:lang w:val="en-US" w:eastAsia="en-US"/>
        </w:rPr>
        <w:t xml:space="preserve"> </w:t>
      </w:r>
    </w:p>
    <w:p w14:paraId="52AC2789" w14:textId="6390A172" w:rsidR="004630BE" w:rsidRPr="0022350B" w:rsidRDefault="00733019" w:rsidP="0022350B">
      <w:pPr>
        <w:spacing w:after="120" w:line="276" w:lineRule="auto"/>
        <w:jc w:val="both"/>
        <w:rPr>
          <w:rFonts w:asciiTheme="minorHAnsi" w:eastAsiaTheme="minorHAnsi" w:hAnsiTheme="minorHAnsi" w:cstheme="minorBidi"/>
          <w:lang w:val="en-US" w:eastAsia="en-US"/>
        </w:rPr>
      </w:pPr>
      <w:r w:rsidRPr="0022350B">
        <w:rPr>
          <w:rFonts w:asciiTheme="minorHAnsi" w:eastAsiaTheme="minorHAnsi" w:hAnsiTheme="minorHAnsi" w:cstheme="minorBidi"/>
          <w:lang w:val="en-US" w:eastAsia="en-US"/>
        </w:rPr>
        <w:t xml:space="preserve">Participants who were Deaf </w:t>
      </w:r>
      <w:r w:rsidR="0014593D" w:rsidRPr="0022350B">
        <w:rPr>
          <w:rFonts w:asciiTheme="minorHAnsi" w:eastAsiaTheme="minorHAnsi" w:hAnsiTheme="minorHAnsi" w:cstheme="minorBidi"/>
          <w:lang w:val="en-US" w:eastAsia="en-US"/>
        </w:rPr>
        <w:t xml:space="preserve">and </w:t>
      </w:r>
      <w:r w:rsidRPr="0022350B">
        <w:rPr>
          <w:rFonts w:asciiTheme="minorHAnsi" w:eastAsiaTheme="minorHAnsi" w:hAnsiTheme="minorHAnsi" w:cstheme="minorBidi"/>
          <w:lang w:val="en-US" w:eastAsia="en-US"/>
        </w:rPr>
        <w:t>primarily use</w:t>
      </w:r>
      <w:r w:rsidR="00C34622">
        <w:rPr>
          <w:rFonts w:asciiTheme="minorHAnsi" w:eastAsiaTheme="minorHAnsi" w:hAnsiTheme="minorHAnsi" w:cstheme="minorBidi"/>
          <w:lang w:val="en-US" w:eastAsia="en-US"/>
        </w:rPr>
        <w:t>d</w:t>
      </w:r>
      <w:r w:rsidRPr="0022350B">
        <w:rPr>
          <w:rFonts w:asciiTheme="minorHAnsi" w:eastAsiaTheme="minorHAnsi" w:hAnsiTheme="minorHAnsi" w:cstheme="minorBidi"/>
          <w:lang w:val="en-US" w:eastAsia="en-US"/>
        </w:rPr>
        <w:t xml:space="preserve"> ASL for communication were recruited to participate </w:t>
      </w:r>
      <w:r w:rsidR="0014593D" w:rsidRPr="0022350B">
        <w:rPr>
          <w:rFonts w:asciiTheme="minorHAnsi" w:eastAsiaTheme="minorHAnsi" w:hAnsiTheme="minorHAnsi" w:cstheme="minorBidi"/>
          <w:lang w:val="en-US" w:eastAsia="en-US"/>
        </w:rPr>
        <w:t xml:space="preserve">from the greater San Antonio Metropolitan area. </w:t>
      </w:r>
      <w:r w:rsidR="00E37999">
        <w:rPr>
          <w:rFonts w:asciiTheme="minorHAnsi" w:eastAsiaTheme="minorHAnsi" w:hAnsiTheme="minorHAnsi" w:cstheme="minorBidi"/>
          <w:lang w:val="en-US" w:eastAsia="en-US"/>
        </w:rPr>
        <w:t>T</w:t>
      </w:r>
      <w:r w:rsidR="00A5733B" w:rsidRPr="0022350B">
        <w:rPr>
          <w:rFonts w:asciiTheme="minorHAnsi" w:eastAsiaTheme="minorHAnsi" w:hAnsiTheme="minorHAnsi" w:cstheme="minorBidi"/>
          <w:lang w:val="en-US" w:eastAsia="en-US"/>
        </w:rPr>
        <w:t xml:space="preserve">he message content and formats were randomly selected for each trial. </w:t>
      </w:r>
      <w:r w:rsidR="00E37999">
        <w:rPr>
          <w:rFonts w:asciiTheme="minorHAnsi" w:eastAsiaTheme="minorHAnsi" w:hAnsiTheme="minorHAnsi" w:cstheme="minorBidi"/>
          <w:lang w:val="en-US" w:eastAsia="en-US"/>
        </w:rPr>
        <w:t>A</w:t>
      </w:r>
      <w:r w:rsidR="00C8463B" w:rsidRPr="0022350B">
        <w:rPr>
          <w:rFonts w:asciiTheme="minorHAnsi" w:eastAsiaTheme="minorHAnsi" w:hAnsiTheme="minorHAnsi" w:cstheme="minorBidi"/>
          <w:lang w:val="en-US" w:eastAsia="en-US"/>
        </w:rPr>
        <w:t xml:space="preserve"> pool of twenty were randomly selected to be viewed during testing. </w:t>
      </w:r>
      <w:r w:rsidR="00F22B87" w:rsidRPr="0022350B">
        <w:rPr>
          <w:rFonts w:asciiTheme="minorHAnsi" w:eastAsiaTheme="minorHAnsi" w:hAnsiTheme="minorHAnsi" w:cstheme="minorBidi"/>
          <w:lang w:val="en-US" w:eastAsia="en-US"/>
        </w:rPr>
        <w:t>We selected four message formats – Text Only</w:t>
      </w:r>
      <w:r w:rsidR="00B15BE5" w:rsidRPr="0022350B">
        <w:rPr>
          <w:rFonts w:asciiTheme="minorHAnsi" w:eastAsiaTheme="minorHAnsi" w:hAnsiTheme="minorHAnsi" w:cstheme="minorBidi"/>
          <w:lang w:val="en-US" w:eastAsia="en-US"/>
        </w:rPr>
        <w:t xml:space="preserve"> (TO)</w:t>
      </w:r>
      <w:r w:rsidR="00F22B87" w:rsidRPr="0022350B">
        <w:rPr>
          <w:rFonts w:asciiTheme="minorHAnsi" w:eastAsiaTheme="minorHAnsi" w:hAnsiTheme="minorHAnsi" w:cstheme="minorBidi"/>
          <w:lang w:val="en-US" w:eastAsia="en-US"/>
        </w:rPr>
        <w:t>, Text with Symbology</w:t>
      </w:r>
      <w:r w:rsidR="00B15BE5" w:rsidRPr="0022350B">
        <w:rPr>
          <w:rFonts w:asciiTheme="minorHAnsi" w:eastAsiaTheme="minorHAnsi" w:hAnsiTheme="minorHAnsi" w:cstheme="minorBidi"/>
          <w:lang w:val="en-US" w:eastAsia="en-US"/>
        </w:rPr>
        <w:t xml:space="preserve"> (TWS)</w:t>
      </w:r>
      <w:r w:rsidR="00F22B87" w:rsidRPr="0022350B">
        <w:rPr>
          <w:rFonts w:asciiTheme="minorHAnsi" w:eastAsiaTheme="minorHAnsi" w:hAnsiTheme="minorHAnsi" w:cstheme="minorBidi"/>
          <w:lang w:val="en-US" w:eastAsia="en-US"/>
        </w:rPr>
        <w:t>, Text with ASL Video</w:t>
      </w:r>
      <w:r w:rsidR="00B15BE5" w:rsidRPr="0022350B">
        <w:rPr>
          <w:rFonts w:asciiTheme="minorHAnsi" w:eastAsiaTheme="minorHAnsi" w:hAnsiTheme="minorHAnsi" w:cstheme="minorBidi"/>
          <w:lang w:val="en-US" w:eastAsia="en-US"/>
        </w:rPr>
        <w:t xml:space="preserve"> (TWA)</w:t>
      </w:r>
      <w:r w:rsidR="00F22B87" w:rsidRPr="0022350B">
        <w:rPr>
          <w:rFonts w:asciiTheme="minorHAnsi" w:eastAsiaTheme="minorHAnsi" w:hAnsiTheme="minorHAnsi" w:cstheme="minorBidi"/>
          <w:lang w:val="en-US" w:eastAsia="en-US"/>
        </w:rPr>
        <w:t xml:space="preserve">, and ASL Video </w:t>
      </w:r>
      <w:r w:rsidR="00B15BE5" w:rsidRPr="0022350B">
        <w:rPr>
          <w:rFonts w:asciiTheme="minorHAnsi" w:eastAsiaTheme="minorHAnsi" w:hAnsiTheme="minorHAnsi" w:cstheme="minorBidi"/>
          <w:lang w:val="en-US" w:eastAsia="en-US"/>
        </w:rPr>
        <w:t>O</w:t>
      </w:r>
      <w:r w:rsidR="00F22B87" w:rsidRPr="0022350B">
        <w:rPr>
          <w:rFonts w:asciiTheme="minorHAnsi" w:eastAsiaTheme="minorHAnsi" w:hAnsiTheme="minorHAnsi" w:cstheme="minorBidi"/>
          <w:lang w:val="en-US" w:eastAsia="en-US"/>
        </w:rPr>
        <w:t xml:space="preserve">nly </w:t>
      </w:r>
      <w:r w:rsidR="00B15BE5" w:rsidRPr="0022350B">
        <w:rPr>
          <w:rFonts w:asciiTheme="minorHAnsi" w:eastAsiaTheme="minorHAnsi" w:hAnsiTheme="minorHAnsi" w:cstheme="minorBidi"/>
          <w:lang w:val="en-US" w:eastAsia="en-US"/>
        </w:rPr>
        <w:t xml:space="preserve">(AVO) </w:t>
      </w:r>
      <w:r w:rsidR="00F22B87" w:rsidRPr="0022350B">
        <w:rPr>
          <w:rFonts w:asciiTheme="minorHAnsi" w:eastAsiaTheme="minorHAnsi" w:hAnsiTheme="minorHAnsi" w:cstheme="minorBidi"/>
          <w:lang w:val="en-US" w:eastAsia="en-US"/>
        </w:rPr>
        <w:t xml:space="preserve">– to allow us to compare the standard WEA Message Format to the symbology and ASL Video enhancements.  </w:t>
      </w:r>
    </w:p>
    <w:p w14:paraId="0ED8FA31" w14:textId="4C101AFE" w:rsidR="007C65B6" w:rsidRPr="00713DD9" w:rsidRDefault="00F22B87" w:rsidP="00713DD9">
      <w:pPr>
        <w:spacing w:after="120" w:line="276" w:lineRule="auto"/>
        <w:jc w:val="both"/>
        <w:rPr>
          <w:rFonts w:asciiTheme="minorHAnsi" w:eastAsiaTheme="minorHAnsi" w:hAnsiTheme="minorHAnsi" w:cstheme="minorBidi"/>
          <w:lang w:val="en-US" w:eastAsia="en-US"/>
        </w:rPr>
      </w:pPr>
      <w:r w:rsidRPr="00713DD9">
        <w:rPr>
          <w:rFonts w:asciiTheme="minorHAnsi" w:eastAsiaTheme="minorHAnsi" w:hAnsiTheme="minorHAnsi" w:cstheme="minorBidi"/>
          <w:lang w:val="en-US" w:eastAsia="en-US"/>
        </w:rPr>
        <w:t>After viewing each message, participants were asked two questions:  1) What did the message say? And 2) What would they do if they received that message</w:t>
      </w:r>
      <w:r w:rsidR="003B6484" w:rsidRPr="00713DD9">
        <w:rPr>
          <w:rFonts w:asciiTheme="minorHAnsi" w:eastAsiaTheme="minorHAnsi" w:hAnsiTheme="minorHAnsi" w:cstheme="minorBidi"/>
          <w:lang w:val="en-US" w:eastAsia="en-US"/>
        </w:rPr>
        <w:t>?</w:t>
      </w:r>
      <w:r w:rsidRPr="00713DD9">
        <w:rPr>
          <w:rFonts w:asciiTheme="minorHAnsi" w:eastAsiaTheme="minorHAnsi" w:hAnsiTheme="minorHAnsi" w:cstheme="minorBidi"/>
          <w:lang w:val="en-US" w:eastAsia="en-US"/>
        </w:rPr>
        <w:t xml:space="preserve"> The answers were recorded by video, transcribed</w:t>
      </w:r>
      <w:r w:rsidR="00713DD9">
        <w:rPr>
          <w:rFonts w:asciiTheme="minorHAnsi" w:eastAsiaTheme="minorHAnsi" w:hAnsiTheme="minorHAnsi" w:cstheme="minorBidi"/>
          <w:lang w:val="en-US" w:eastAsia="en-US"/>
        </w:rPr>
        <w:t>,</w:t>
      </w:r>
      <w:r w:rsidRPr="00713DD9">
        <w:rPr>
          <w:rFonts w:asciiTheme="minorHAnsi" w:eastAsiaTheme="minorHAnsi" w:hAnsiTheme="minorHAnsi" w:cstheme="minorBidi"/>
          <w:lang w:val="en-US" w:eastAsia="en-US"/>
        </w:rPr>
        <w:t xml:space="preserve"> and coded for analysis. </w:t>
      </w:r>
      <w:r w:rsidR="00266B2E" w:rsidRPr="00713DD9">
        <w:rPr>
          <w:rFonts w:asciiTheme="minorHAnsi" w:eastAsiaTheme="minorHAnsi" w:hAnsiTheme="minorHAnsi" w:cstheme="minorBidi"/>
          <w:lang w:val="en-US" w:eastAsia="en-US"/>
        </w:rPr>
        <w:t xml:space="preserve">Answers were coded to determine if the participants correctly understood what </w:t>
      </w:r>
      <w:r w:rsidR="009B410B">
        <w:rPr>
          <w:rFonts w:asciiTheme="minorHAnsi" w:eastAsiaTheme="minorHAnsi" w:hAnsiTheme="minorHAnsi" w:cstheme="minorBidi"/>
          <w:lang w:val="en-US" w:eastAsia="en-US"/>
        </w:rPr>
        <w:t>emergency event was</w:t>
      </w:r>
      <w:r w:rsidR="00266B2E" w:rsidRPr="00713DD9">
        <w:rPr>
          <w:rFonts w:asciiTheme="minorHAnsi" w:eastAsiaTheme="minorHAnsi" w:hAnsiTheme="minorHAnsi" w:cstheme="minorBidi"/>
          <w:lang w:val="en-US" w:eastAsia="en-US"/>
        </w:rPr>
        <w:t xml:space="preserve"> happening and identified the correct action to </w:t>
      </w:r>
      <w:r w:rsidR="009B410B">
        <w:rPr>
          <w:rFonts w:asciiTheme="minorHAnsi" w:eastAsiaTheme="minorHAnsi" w:hAnsiTheme="minorHAnsi" w:cstheme="minorBidi"/>
          <w:lang w:val="en-US" w:eastAsia="en-US"/>
        </w:rPr>
        <w:t>take</w:t>
      </w:r>
      <w:r w:rsidR="00266B2E" w:rsidRPr="00713DD9">
        <w:rPr>
          <w:rFonts w:asciiTheme="minorHAnsi" w:eastAsiaTheme="minorHAnsi" w:hAnsiTheme="minorHAnsi" w:cstheme="minorBidi"/>
          <w:lang w:val="en-US" w:eastAsia="en-US"/>
        </w:rPr>
        <w:t xml:space="preserve">. </w:t>
      </w:r>
      <w:r w:rsidR="001B7F1B" w:rsidRPr="00713DD9">
        <w:rPr>
          <w:rFonts w:asciiTheme="minorHAnsi" w:eastAsiaTheme="minorHAnsi" w:hAnsiTheme="minorHAnsi" w:cstheme="minorBidi"/>
          <w:lang w:val="en-US" w:eastAsia="en-US"/>
        </w:rPr>
        <w:t xml:space="preserve">Quantitative analysis was completed to determine if certain message components created confusion or if certain symbols were better understood </w:t>
      </w:r>
      <w:r w:rsidR="000D1C7F">
        <w:rPr>
          <w:rFonts w:asciiTheme="minorHAnsi" w:eastAsiaTheme="minorHAnsi" w:hAnsiTheme="minorHAnsi" w:cstheme="minorBidi"/>
          <w:lang w:val="en-US" w:eastAsia="en-US"/>
        </w:rPr>
        <w:t>than others</w:t>
      </w:r>
      <w:r w:rsidR="001B7F1B" w:rsidRPr="00713DD9">
        <w:rPr>
          <w:rFonts w:asciiTheme="minorHAnsi" w:eastAsiaTheme="minorHAnsi" w:hAnsiTheme="minorHAnsi" w:cstheme="minorBidi"/>
          <w:lang w:val="en-US" w:eastAsia="en-US"/>
        </w:rPr>
        <w:t xml:space="preserve">. </w:t>
      </w:r>
      <w:r w:rsidR="007C65B6" w:rsidRPr="00713DD9">
        <w:rPr>
          <w:rFonts w:asciiTheme="minorHAnsi" w:eastAsiaTheme="minorHAnsi" w:hAnsiTheme="minorHAnsi" w:cstheme="minorBidi"/>
          <w:lang w:val="en-US" w:eastAsia="en-US"/>
        </w:rPr>
        <w:t xml:space="preserve">Chi-Squared Analysis was employed to examine the impact of </w:t>
      </w:r>
      <w:r w:rsidR="00304DDB">
        <w:rPr>
          <w:rFonts w:asciiTheme="minorHAnsi" w:eastAsiaTheme="minorHAnsi" w:hAnsiTheme="minorHAnsi" w:cstheme="minorBidi"/>
          <w:lang w:val="en-US" w:eastAsia="en-US"/>
        </w:rPr>
        <w:t xml:space="preserve">the </w:t>
      </w:r>
      <w:r w:rsidR="007C65B6" w:rsidRPr="00713DD9">
        <w:rPr>
          <w:rFonts w:asciiTheme="minorHAnsi" w:eastAsiaTheme="minorHAnsi" w:hAnsiTheme="minorHAnsi" w:cstheme="minorBidi"/>
          <w:lang w:val="en-US" w:eastAsia="en-US"/>
        </w:rPr>
        <w:t>message format, the event occurring, and the recommended protective action on the participants</w:t>
      </w:r>
      <w:r w:rsidR="004B1207">
        <w:rPr>
          <w:rFonts w:asciiTheme="minorHAnsi" w:eastAsiaTheme="minorHAnsi" w:hAnsiTheme="minorHAnsi" w:cstheme="minorBidi"/>
          <w:lang w:val="en-US" w:eastAsia="en-US"/>
        </w:rPr>
        <w:t>'</w:t>
      </w:r>
      <w:r w:rsidR="007C65B6" w:rsidRPr="00713DD9">
        <w:rPr>
          <w:rFonts w:asciiTheme="minorHAnsi" w:eastAsiaTheme="minorHAnsi" w:hAnsiTheme="minorHAnsi" w:cstheme="minorBidi"/>
          <w:lang w:val="en-US" w:eastAsia="en-US"/>
        </w:rPr>
        <w:t xml:space="preserve"> understanding of events or actions. The Chi-Square analysis employed Yates Continuity Correction.  </w:t>
      </w:r>
    </w:p>
    <w:p w14:paraId="6D532770" w14:textId="13CCD658" w:rsidR="008B2EDE" w:rsidRPr="000274AC" w:rsidRDefault="008B2EDE" w:rsidP="000274AC">
      <w:pPr>
        <w:pStyle w:val="Heading1"/>
        <w:keepLines/>
        <w:spacing w:before="240" w:after="0" w:line="240" w:lineRule="auto"/>
        <w:ind w:right="0"/>
        <w:contextualSpacing w:val="0"/>
        <w:rPr>
          <w:rFonts w:asciiTheme="minorHAnsi" w:eastAsiaTheme="majorEastAsia" w:hAnsiTheme="minorHAnsi" w:cstheme="minorHAnsi"/>
          <w:bCs w:val="0"/>
          <w:kern w:val="0"/>
          <w:sz w:val="28"/>
          <w:szCs w:val="24"/>
          <w:lang w:val="en-US" w:eastAsia="en-US"/>
        </w:rPr>
      </w:pPr>
      <w:r w:rsidRPr="000274AC">
        <w:rPr>
          <w:rFonts w:asciiTheme="minorHAnsi" w:eastAsiaTheme="majorEastAsia" w:hAnsiTheme="minorHAnsi" w:cstheme="minorHAnsi"/>
          <w:bCs w:val="0"/>
          <w:kern w:val="0"/>
          <w:sz w:val="28"/>
          <w:szCs w:val="24"/>
          <w:lang w:val="en-US" w:eastAsia="en-US"/>
        </w:rPr>
        <w:t>Results</w:t>
      </w:r>
    </w:p>
    <w:p w14:paraId="31BD8B28" w14:textId="6BFAA5EC" w:rsidR="001B7F1B" w:rsidRDefault="001B7F1B" w:rsidP="000274AC">
      <w:pPr>
        <w:spacing w:after="120" w:line="276" w:lineRule="auto"/>
        <w:jc w:val="both"/>
        <w:rPr>
          <w:rFonts w:asciiTheme="minorHAnsi" w:eastAsiaTheme="minorHAnsi" w:hAnsiTheme="minorHAnsi" w:cstheme="minorBidi"/>
          <w:lang w:val="en-US" w:eastAsia="en-US"/>
        </w:rPr>
      </w:pPr>
      <w:r w:rsidRPr="000274AC">
        <w:rPr>
          <w:rFonts w:asciiTheme="minorHAnsi" w:eastAsiaTheme="minorHAnsi" w:hAnsiTheme="minorHAnsi" w:cstheme="minorBidi"/>
          <w:lang w:val="en-US" w:eastAsia="en-US"/>
        </w:rPr>
        <w:t>A total of 96 messages were viewed. The distribution of event</w:t>
      </w:r>
      <w:r w:rsidR="0081322B" w:rsidRPr="000274AC">
        <w:rPr>
          <w:rFonts w:asciiTheme="minorHAnsi" w:eastAsiaTheme="minorHAnsi" w:hAnsiTheme="minorHAnsi" w:cstheme="minorBidi"/>
          <w:lang w:val="en-US" w:eastAsia="en-US"/>
        </w:rPr>
        <w:t xml:space="preserve">s, actions, and message formats </w:t>
      </w:r>
      <w:r w:rsidR="00DB4FD5" w:rsidRPr="000274AC">
        <w:rPr>
          <w:rFonts w:asciiTheme="minorHAnsi" w:eastAsiaTheme="minorHAnsi" w:hAnsiTheme="minorHAnsi" w:cstheme="minorBidi"/>
          <w:lang w:val="en-US" w:eastAsia="en-US"/>
        </w:rPr>
        <w:t xml:space="preserve">for the viewed messages </w:t>
      </w:r>
      <w:r w:rsidR="0081322B" w:rsidRPr="000274AC">
        <w:rPr>
          <w:rFonts w:asciiTheme="minorHAnsi" w:eastAsiaTheme="minorHAnsi" w:hAnsiTheme="minorHAnsi" w:cstheme="minorBidi"/>
          <w:lang w:val="en-US" w:eastAsia="en-US"/>
        </w:rPr>
        <w:t>are shown below.</w:t>
      </w:r>
      <w:r w:rsidR="00D77746" w:rsidRPr="000274AC">
        <w:rPr>
          <w:rFonts w:asciiTheme="minorHAnsi" w:eastAsiaTheme="minorHAnsi" w:hAnsiTheme="minorHAnsi" w:cstheme="minorBidi"/>
          <w:lang w:val="en-US" w:eastAsia="en-US"/>
        </w:rPr>
        <w:t xml:space="preserve"> It should be noted that not all events held associated </w:t>
      </w:r>
      <w:r w:rsidR="00D92279" w:rsidRPr="000274AC">
        <w:rPr>
          <w:rFonts w:asciiTheme="minorHAnsi" w:eastAsiaTheme="minorHAnsi" w:hAnsiTheme="minorHAnsi" w:cstheme="minorBidi"/>
          <w:lang w:val="en-US" w:eastAsia="en-US"/>
        </w:rPr>
        <w:t xml:space="preserve">protective </w:t>
      </w:r>
      <w:r w:rsidR="00D77746" w:rsidRPr="000274AC">
        <w:rPr>
          <w:rFonts w:asciiTheme="minorHAnsi" w:eastAsiaTheme="minorHAnsi" w:hAnsiTheme="minorHAnsi" w:cstheme="minorBidi"/>
          <w:lang w:val="en-US" w:eastAsia="en-US"/>
        </w:rPr>
        <w:t xml:space="preserve">actions.  </w:t>
      </w:r>
    </w:p>
    <w:p w14:paraId="43A04BD2" w14:textId="0C5F1F01" w:rsidR="009E688E" w:rsidRPr="006249CC" w:rsidRDefault="009E688E" w:rsidP="009E688E">
      <w:pPr>
        <w:pStyle w:val="Tabletitle"/>
        <w:spacing w:before="120" w:line="252" w:lineRule="auto"/>
        <w:rPr>
          <w:b/>
          <w:bCs/>
          <w:lang w:val="en-US"/>
        </w:rPr>
      </w:pPr>
      <w:r w:rsidRPr="006249CC">
        <w:rPr>
          <w:b/>
          <w:bCs/>
          <w:lang w:val="en-US"/>
        </w:rPr>
        <w:t xml:space="preserve">Table 1: Message Formats viewed with percentage of events and protective actions that </w:t>
      </w:r>
      <w:r w:rsidR="00304DDB">
        <w:rPr>
          <w:b/>
          <w:bCs/>
          <w:lang w:val="en-US"/>
        </w:rPr>
        <w:t>the participant understood</w:t>
      </w:r>
      <w:r w:rsidRPr="006249CC">
        <w:rPr>
          <w:b/>
          <w:bCs/>
          <w:lang w:val="en-US"/>
        </w:rPr>
        <w:t xml:space="preserve">.  </w:t>
      </w:r>
    </w:p>
    <w:tbl>
      <w:tblPr>
        <w:tblStyle w:val="TableGrid"/>
        <w:tblW w:w="0" w:type="auto"/>
        <w:tblLayout w:type="fixed"/>
        <w:tblLook w:val="04A0" w:firstRow="1" w:lastRow="0" w:firstColumn="1" w:lastColumn="0" w:noHBand="0" w:noVBand="1"/>
      </w:tblPr>
      <w:tblGrid>
        <w:gridCol w:w="3325"/>
        <w:gridCol w:w="1080"/>
        <w:gridCol w:w="1980"/>
        <w:gridCol w:w="1980"/>
      </w:tblGrid>
      <w:tr w:rsidR="009E688E" w:rsidRPr="00D31354" w14:paraId="223AA865" w14:textId="77777777" w:rsidTr="00F82727">
        <w:tc>
          <w:tcPr>
            <w:tcW w:w="3325" w:type="dxa"/>
          </w:tcPr>
          <w:p w14:paraId="77899ADE" w14:textId="77777777" w:rsidR="009E688E" w:rsidRPr="00D31354" w:rsidRDefault="009E688E" w:rsidP="00F82727">
            <w:pPr>
              <w:pStyle w:val="Newparagraph"/>
              <w:spacing w:line="240" w:lineRule="auto"/>
              <w:ind w:firstLine="0"/>
              <w:rPr>
                <w:b/>
                <w:bCs/>
                <w:lang w:val="en-US"/>
              </w:rPr>
            </w:pPr>
            <w:r w:rsidRPr="00D31354">
              <w:rPr>
                <w:b/>
                <w:bCs/>
                <w:lang w:val="en-US"/>
              </w:rPr>
              <w:t>Format</w:t>
            </w:r>
          </w:p>
        </w:tc>
        <w:tc>
          <w:tcPr>
            <w:tcW w:w="1080" w:type="dxa"/>
          </w:tcPr>
          <w:p w14:paraId="75072B4F" w14:textId="77777777" w:rsidR="009E688E" w:rsidRPr="00D31354" w:rsidRDefault="009E688E" w:rsidP="00F82727">
            <w:pPr>
              <w:pStyle w:val="Newparagraph"/>
              <w:spacing w:line="240" w:lineRule="auto"/>
              <w:ind w:firstLine="0"/>
              <w:jc w:val="right"/>
              <w:rPr>
                <w:b/>
                <w:bCs/>
                <w:lang w:val="en-US"/>
              </w:rPr>
            </w:pPr>
            <w:r>
              <w:rPr>
                <w:b/>
                <w:bCs/>
                <w:lang w:val="en-US"/>
              </w:rPr>
              <w:t>Count</w:t>
            </w:r>
          </w:p>
        </w:tc>
        <w:tc>
          <w:tcPr>
            <w:tcW w:w="1980" w:type="dxa"/>
          </w:tcPr>
          <w:p w14:paraId="2F156EDC" w14:textId="77777777" w:rsidR="009E688E" w:rsidRDefault="009E688E" w:rsidP="00F82727">
            <w:pPr>
              <w:pStyle w:val="Newparagraph"/>
              <w:spacing w:line="240" w:lineRule="auto"/>
              <w:ind w:firstLine="0"/>
              <w:jc w:val="right"/>
              <w:rPr>
                <w:b/>
                <w:bCs/>
                <w:lang w:val="en-US"/>
              </w:rPr>
            </w:pPr>
            <w:r>
              <w:rPr>
                <w:b/>
                <w:bCs/>
                <w:lang w:val="en-US"/>
              </w:rPr>
              <w:t>% of understood Events</w:t>
            </w:r>
          </w:p>
        </w:tc>
        <w:tc>
          <w:tcPr>
            <w:tcW w:w="1980" w:type="dxa"/>
          </w:tcPr>
          <w:p w14:paraId="644ABCD2" w14:textId="77777777" w:rsidR="009E688E" w:rsidRDefault="009E688E" w:rsidP="00F82727">
            <w:pPr>
              <w:pStyle w:val="Newparagraph"/>
              <w:spacing w:line="240" w:lineRule="auto"/>
              <w:ind w:firstLine="0"/>
              <w:jc w:val="right"/>
              <w:rPr>
                <w:b/>
                <w:bCs/>
                <w:lang w:val="en-US"/>
              </w:rPr>
            </w:pPr>
            <w:r>
              <w:rPr>
                <w:b/>
                <w:bCs/>
                <w:lang w:val="en-US"/>
              </w:rPr>
              <w:t>% of understood protective actions</w:t>
            </w:r>
          </w:p>
        </w:tc>
      </w:tr>
      <w:tr w:rsidR="009E688E" w14:paraId="33E863BD" w14:textId="77777777" w:rsidTr="00F82727">
        <w:tc>
          <w:tcPr>
            <w:tcW w:w="3325" w:type="dxa"/>
          </w:tcPr>
          <w:p w14:paraId="3F5AF7F1" w14:textId="77777777" w:rsidR="009E688E" w:rsidRDefault="009E688E" w:rsidP="00F82727">
            <w:pPr>
              <w:pStyle w:val="Newparagraph"/>
              <w:spacing w:line="240" w:lineRule="auto"/>
              <w:ind w:firstLine="0"/>
              <w:rPr>
                <w:lang w:val="en-US"/>
              </w:rPr>
            </w:pPr>
            <w:r>
              <w:rPr>
                <w:lang w:val="en-US"/>
              </w:rPr>
              <w:t>Text Only (TO)</w:t>
            </w:r>
          </w:p>
        </w:tc>
        <w:tc>
          <w:tcPr>
            <w:tcW w:w="1080" w:type="dxa"/>
          </w:tcPr>
          <w:p w14:paraId="1FE6BCCF" w14:textId="77777777" w:rsidR="009E688E" w:rsidRDefault="009E688E" w:rsidP="00F82727">
            <w:pPr>
              <w:pStyle w:val="Newparagraph"/>
              <w:spacing w:line="240" w:lineRule="auto"/>
              <w:ind w:firstLine="0"/>
              <w:jc w:val="right"/>
              <w:rPr>
                <w:lang w:val="en-US"/>
              </w:rPr>
            </w:pPr>
            <w:r>
              <w:rPr>
                <w:lang w:val="en-US"/>
              </w:rPr>
              <w:t>23</w:t>
            </w:r>
          </w:p>
        </w:tc>
        <w:tc>
          <w:tcPr>
            <w:tcW w:w="1980" w:type="dxa"/>
          </w:tcPr>
          <w:p w14:paraId="71E60605" w14:textId="77777777" w:rsidR="009E688E" w:rsidRDefault="009E688E" w:rsidP="00F82727">
            <w:pPr>
              <w:pStyle w:val="Newparagraph"/>
              <w:spacing w:line="240" w:lineRule="auto"/>
              <w:ind w:firstLine="0"/>
              <w:jc w:val="right"/>
              <w:rPr>
                <w:lang w:val="en-US"/>
              </w:rPr>
            </w:pPr>
            <w:r>
              <w:rPr>
                <w:lang w:val="en-US"/>
              </w:rPr>
              <w:t>30%</w:t>
            </w:r>
          </w:p>
        </w:tc>
        <w:tc>
          <w:tcPr>
            <w:tcW w:w="1980" w:type="dxa"/>
          </w:tcPr>
          <w:p w14:paraId="2081F032" w14:textId="77777777" w:rsidR="009E688E" w:rsidRDefault="009E688E" w:rsidP="00F82727">
            <w:pPr>
              <w:pStyle w:val="Newparagraph"/>
              <w:spacing w:line="240" w:lineRule="auto"/>
              <w:ind w:firstLine="0"/>
              <w:jc w:val="right"/>
              <w:rPr>
                <w:lang w:val="en-US"/>
              </w:rPr>
            </w:pPr>
            <w:r>
              <w:rPr>
                <w:lang w:val="en-US"/>
              </w:rPr>
              <w:t>40%</w:t>
            </w:r>
          </w:p>
        </w:tc>
      </w:tr>
      <w:tr w:rsidR="009E688E" w14:paraId="6E20851A" w14:textId="77777777" w:rsidTr="00F82727">
        <w:tc>
          <w:tcPr>
            <w:tcW w:w="3325" w:type="dxa"/>
          </w:tcPr>
          <w:p w14:paraId="75471EA0" w14:textId="77777777" w:rsidR="009E688E" w:rsidRDefault="009E688E" w:rsidP="00F82727">
            <w:pPr>
              <w:pStyle w:val="Newparagraph"/>
              <w:spacing w:line="240" w:lineRule="auto"/>
              <w:ind w:firstLine="0"/>
              <w:rPr>
                <w:lang w:val="en-US"/>
              </w:rPr>
            </w:pPr>
            <w:r>
              <w:rPr>
                <w:lang w:val="en-US"/>
              </w:rPr>
              <w:t>Text with Symbology (TWS)</w:t>
            </w:r>
          </w:p>
        </w:tc>
        <w:tc>
          <w:tcPr>
            <w:tcW w:w="1080" w:type="dxa"/>
          </w:tcPr>
          <w:p w14:paraId="446EDF94" w14:textId="77777777" w:rsidR="009E688E" w:rsidRDefault="009E688E" w:rsidP="00F82727">
            <w:pPr>
              <w:pStyle w:val="Newparagraph"/>
              <w:spacing w:line="240" w:lineRule="auto"/>
              <w:ind w:firstLine="0"/>
              <w:jc w:val="right"/>
              <w:rPr>
                <w:lang w:val="en-US"/>
              </w:rPr>
            </w:pPr>
            <w:r>
              <w:rPr>
                <w:lang w:val="en-US"/>
              </w:rPr>
              <w:t>22</w:t>
            </w:r>
          </w:p>
        </w:tc>
        <w:tc>
          <w:tcPr>
            <w:tcW w:w="1980" w:type="dxa"/>
          </w:tcPr>
          <w:p w14:paraId="6C84098E" w14:textId="77777777" w:rsidR="009E688E" w:rsidRDefault="009E688E" w:rsidP="00F82727">
            <w:pPr>
              <w:pStyle w:val="Newparagraph"/>
              <w:spacing w:line="240" w:lineRule="auto"/>
              <w:ind w:firstLine="0"/>
              <w:jc w:val="right"/>
              <w:rPr>
                <w:lang w:val="en-US"/>
              </w:rPr>
            </w:pPr>
            <w:r>
              <w:rPr>
                <w:lang w:val="en-US"/>
              </w:rPr>
              <w:t>45%</w:t>
            </w:r>
          </w:p>
        </w:tc>
        <w:tc>
          <w:tcPr>
            <w:tcW w:w="1980" w:type="dxa"/>
          </w:tcPr>
          <w:p w14:paraId="206F6FCB" w14:textId="77777777" w:rsidR="009E688E" w:rsidRDefault="009E688E" w:rsidP="00F82727">
            <w:pPr>
              <w:pStyle w:val="Newparagraph"/>
              <w:spacing w:line="240" w:lineRule="auto"/>
              <w:ind w:firstLine="0"/>
              <w:jc w:val="right"/>
              <w:rPr>
                <w:lang w:val="en-US"/>
              </w:rPr>
            </w:pPr>
            <w:r>
              <w:rPr>
                <w:lang w:val="en-US"/>
              </w:rPr>
              <w:t>29%</w:t>
            </w:r>
          </w:p>
        </w:tc>
      </w:tr>
      <w:tr w:rsidR="009E688E" w14:paraId="7A8E767D" w14:textId="77777777" w:rsidTr="00F82727">
        <w:tc>
          <w:tcPr>
            <w:tcW w:w="3325" w:type="dxa"/>
          </w:tcPr>
          <w:p w14:paraId="709F25C9" w14:textId="77777777" w:rsidR="009E688E" w:rsidRDefault="009E688E" w:rsidP="00F82727">
            <w:pPr>
              <w:pStyle w:val="Newparagraph"/>
              <w:spacing w:line="240" w:lineRule="auto"/>
              <w:ind w:firstLine="0"/>
              <w:rPr>
                <w:lang w:val="en-US"/>
              </w:rPr>
            </w:pPr>
            <w:r>
              <w:rPr>
                <w:lang w:val="en-US"/>
              </w:rPr>
              <w:t xml:space="preserve">Text with ASL Video (TWA) </w:t>
            </w:r>
          </w:p>
        </w:tc>
        <w:tc>
          <w:tcPr>
            <w:tcW w:w="1080" w:type="dxa"/>
          </w:tcPr>
          <w:p w14:paraId="24798D3A" w14:textId="77777777" w:rsidR="009E688E" w:rsidRDefault="009E688E" w:rsidP="00F82727">
            <w:pPr>
              <w:pStyle w:val="Newparagraph"/>
              <w:spacing w:line="240" w:lineRule="auto"/>
              <w:ind w:firstLine="0"/>
              <w:jc w:val="right"/>
              <w:rPr>
                <w:lang w:val="en-US"/>
              </w:rPr>
            </w:pPr>
            <w:r>
              <w:rPr>
                <w:lang w:val="en-US"/>
              </w:rPr>
              <w:t>24</w:t>
            </w:r>
          </w:p>
        </w:tc>
        <w:tc>
          <w:tcPr>
            <w:tcW w:w="1980" w:type="dxa"/>
          </w:tcPr>
          <w:p w14:paraId="662BB1A0" w14:textId="77777777" w:rsidR="009E688E" w:rsidRDefault="009E688E" w:rsidP="00F82727">
            <w:pPr>
              <w:pStyle w:val="Newparagraph"/>
              <w:spacing w:line="240" w:lineRule="auto"/>
              <w:ind w:firstLine="0"/>
              <w:jc w:val="right"/>
              <w:rPr>
                <w:lang w:val="en-US"/>
              </w:rPr>
            </w:pPr>
            <w:r>
              <w:rPr>
                <w:lang w:val="en-US"/>
              </w:rPr>
              <w:t>74%</w:t>
            </w:r>
          </w:p>
        </w:tc>
        <w:tc>
          <w:tcPr>
            <w:tcW w:w="1980" w:type="dxa"/>
          </w:tcPr>
          <w:p w14:paraId="354A32DF" w14:textId="77777777" w:rsidR="009E688E" w:rsidRDefault="009E688E" w:rsidP="00F82727">
            <w:pPr>
              <w:pStyle w:val="Newparagraph"/>
              <w:spacing w:line="240" w:lineRule="auto"/>
              <w:ind w:firstLine="0"/>
              <w:jc w:val="right"/>
              <w:rPr>
                <w:lang w:val="en-US"/>
              </w:rPr>
            </w:pPr>
            <w:r>
              <w:rPr>
                <w:lang w:val="en-US"/>
              </w:rPr>
              <w:t>52%</w:t>
            </w:r>
          </w:p>
        </w:tc>
      </w:tr>
      <w:tr w:rsidR="009E688E" w14:paraId="778B5547" w14:textId="77777777" w:rsidTr="00F82727">
        <w:tc>
          <w:tcPr>
            <w:tcW w:w="3325" w:type="dxa"/>
          </w:tcPr>
          <w:p w14:paraId="4664A5AD" w14:textId="77777777" w:rsidR="009E688E" w:rsidRDefault="009E688E" w:rsidP="00F82727">
            <w:pPr>
              <w:pStyle w:val="Newparagraph"/>
              <w:spacing w:line="240" w:lineRule="auto"/>
              <w:ind w:firstLine="0"/>
              <w:rPr>
                <w:lang w:val="en-US"/>
              </w:rPr>
            </w:pPr>
            <w:r>
              <w:rPr>
                <w:lang w:val="en-US"/>
              </w:rPr>
              <w:t>ASL Video Only (AVO)</w:t>
            </w:r>
          </w:p>
        </w:tc>
        <w:tc>
          <w:tcPr>
            <w:tcW w:w="1080" w:type="dxa"/>
          </w:tcPr>
          <w:p w14:paraId="1E34B8E3" w14:textId="77777777" w:rsidR="009E688E" w:rsidRDefault="009E688E" w:rsidP="00F82727">
            <w:pPr>
              <w:pStyle w:val="Newparagraph"/>
              <w:spacing w:line="240" w:lineRule="auto"/>
              <w:ind w:firstLine="0"/>
              <w:jc w:val="right"/>
              <w:rPr>
                <w:lang w:val="en-US"/>
              </w:rPr>
            </w:pPr>
            <w:r>
              <w:rPr>
                <w:lang w:val="en-US"/>
              </w:rPr>
              <w:t>27</w:t>
            </w:r>
          </w:p>
        </w:tc>
        <w:tc>
          <w:tcPr>
            <w:tcW w:w="1980" w:type="dxa"/>
          </w:tcPr>
          <w:p w14:paraId="67A5AA8A" w14:textId="77777777" w:rsidR="009E688E" w:rsidRDefault="009E688E" w:rsidP="00F82727">
            <w:pPr>
              <w:pStyle w:val="Newparagraph"/>
              <w:spacing w:line="240" w:lineRule="auto"/>
              <w:ind w:firstLine="0"/>
              <w:jc w:val="right"/>
              <w:rPr>
                <w:lang w:val="en-US"/>
              </w:rPr>
            </w:pPr>
            <w:r>
              <w:rPr>
                <w:lang w:val="en-US"/>
              </w:rPr>
              <w:t>67%</w:t>
            </w:r>
          </w:p>
        </w:tc>
        <w:tc>
          <w:tcPr>
            <w:tcW w:w="1980" w:type="dxa"/>
          </w:tcPr>
          <w:p w14:paraId="598C5450" w14:textId="77777777" w:rsidR="009E688E" w:rsidRDefault="009E688E" w:rsidP="00F82727">
            <w:pPr>
              <w:pStyle w:val="Newparagraph"/>
              <w:spacing w:line="240" w:lineRule="auto"/>
              <w:ind w:firstLine="0"/>
              <w:jc w:val="right"/>
              <w:rPr>
                <w:lang w:val="en-US"/>
              </w:rPr>
            </w:pPr>
            <w:r>
              <w:rPr>
                <w:lang w:val="en-US"/>
              </w:rPr>
              <w:t>48%</w:t>
            </w:r>
          </w:p>
        </w:tc>
      </w:tr>
    </w:tbl>
    <w:p w14:paraId="0144B354" w14:textId="77777777" w:rsidR="009E688E" w:rsidRDefault="009E688E" w:rsidP="000274AC">
      <w:pPr>
        <w:spacing w:after="120" w:line="276" w:lineRule="auto"/>
        <w:jc w:val="both"/>
        <w:rPr>
          <w:rFonts w:asciiTheme="minorHAnsi" w:eastAsiaTheme="minorHAnsi" w:hAnsiTheme="minorHAnsi" w:cstheme="minorBidi"/>
          <w:lang w:val="en-US" w:eastAsia="en-US"/>
        </w:rPr>
      </w:pPr>
    </w:p>
    <w:p w14:paraId="00C56A8C" w14:textId="0EBEAF19" w:rsidR="00374A25" w:rsidRDefault="00374A25" w:rsidP="00374A25">
      <w:pPr>
        <w:spacing w:after="120" w:line="276" w:lineRule="auto"/>
        <w:jc w:val="both"/>
        <w:rPr>
          <w:rFonts w:asciiTheme="minorHAnsi" w:eastAsiaTheme="minorHAnsi" w:hAnsiTheme="minorHAnsi" w:cstheme="minorBidi"/>
          <w:lang w:val="en-US" w:eastAsia="en-US"/>
        </w:rPr>
      </w:pPr>
      <w:r w:rsidRPr="00374A25">
        <w:rPr>
          <w:rFonts w:asciiTheme="minorHAnsi" w:eastAsiaTheme="minorHAnsi" w:hAnsiTheme="minorHAnsi" w:cstheme="minorBidi"/>
          <w:lang w:val="en-US" w:eastAsia="en-US"/>
        </w:rPr>
        <w:lastRenderedPageBreak/>
        <w:t xml:space="preserve">There were 23 viewed TO messages, and 20 of them recommended protective actions. Participants correctly identify seven (30%) of the events and eight (40%) of the actions. The addition of symbology had mixed results. There were 22 viewed TWS messages, and all but one of them recommended protective actions. Participants correctly identified 10 (45%) of the events and 6 (28%) of the actions. Of the 27 viewed TWA messages, 23 recommended protective actions. Participants correctly identified 20 (74%) of the events and 12 (52%) of the actions. Finally, the 24 AVO messages recommended 21 protective actions. Participants correctly identified 16 (67%) of the events and 10 (48%) of the actions.  </w:t>
      </w:r>
    </w:p>
    <w:p w14:paraId="743FD80C" w14:textId="075487AF" w:rsidR="00642ECB" w:rsidRDefault="00642ECB" w:rsidP="00642ECB">
      <w:pPr>
        <w:spacing w:after="120" w:line="276" w:lineRule="auto"/>
        <w:jc w:val="both"/>
        <w:rPr>
          <w:rFonts w:asciiTheme="minorHAnsi" w:eastAsiaTheme="minorHAnsi" w:hAnsiTheme="minorHAnsi" w:cstheme="minorBidi"/>
          <w:lang w:val="en-US" w:eastAsia="en-US"/>
        </w:rPr>
      </w:pPr>
      <w:r w:rsidRPr="00374A25">
        <w:rPr>
          <w:rFonts w:asciiTheme="minorHAnsi" w:eastAsiaTheme="minorHAnsi" w:hAnsiTheme="minorHAnsi" w:cstheme="minorBidi"/>
          <w:lang w:val="en-US" w:eastAsia="en-US"/>
        </w:rPr>
        <w:t xml:space="preserve">Chi-squared distribution analysis shows that the presence of ASL videos (TWA and AVO formats) resulted in participants being almost </w:t>
      </w:r>
      <w:r w:rsidR="00AC2D28">
        <w:rPr>
          <w:rFonts w:asciiTheme="minorHAnsi" w:eastAsiaTheme="minorHAnsi" w:hAnsiTheme="minorHAnsi" w:cstheme="minorBidi"/>
          <w:lang w:val="en-US" w:eastAsia="en-US"/>
        </w:rPr>
        <w:t>four</w:t>
      </w:r>
      <w:r w:rsidRPr="00374A25">
        <w:rPr>
          <w:rFonts w:asciiTheme="minorHAnsi" w:eastAsiaTheme="minorHAnsi" w:hAnsiTheme="minorHAnsi" w:cstheme="minorBidi"/>
          <w:lang w:val="en-US" w:eastAsia="en-US"/>
        </w:rPr>
        <w:t xml:space="preserve"> times more likely to understand the description of the emergency event in the message (p&lt; 0.01). However, distribution analysis did not show a statistically significant increase in the understanding of protective action recommended with the presence of ASL video. Further, the presence of symbology did not improve the participants understanding of either the event or the recommended protective action.</w:t>
      </w:r>
      <w:r>
        <w:rPr>
          <w:rFonts w:asciiTheme="minorHAnsi" w:eastAsiaTheme="minorHAnsi" w:hAnsiTheme="minorHAnsi" w:cstheme="minorBidi"/>
          <w:lang w:val="en-US" w:eastAsia="en-US"/>
        </w:rPr>
        <w:t xml:space="preserve"> </w:t>
      </w:r>
      <w:r w:rsidRPr="00374A25">
        <w:rPr>
          <w:rFonts w:asciiTheme="minorHAnsi" w:eastAsiaTheme="minorHAnsi" w:hAnsiTheme="minorHAnsi" w:cstheme="minorBidi"/>
          <w:lang w:val="en-US" w:eastAsia="en-US"/>
        </w:rPr>
        <w:t xml:space="preserve">Of the 80 viewed messages that recommended protective actions, participants understood both message components (event and protective action) in one-third (27) of them. Of these messages that included ASL, participants understood both components of 17 (41%) of them while understanding 10 (25%) of the viewed TO and TWS messages.  </w:t>
      </w:r>
    </w:p>
    <w:p w14:paraId="2133022C" w14:textId="5FBF9511" w:rsidR="00344BD1" w:rsidRPr="00374A25" w:rsidRDefault="00344BD1" w:rsidP="00344BD1">
      <w:pPr>
        <w:spacing w:after="120" w:line="276" w:lineRule="auto"/>
        <w:jc w:val="both"/>
        <w:rPr>
          <w:rFonts w:asciiTheme="minorHAnsi" w:eastAsiaTheme="minorHAnsi" w:hAnsiTheme="minorHAnsi" w:cstheme="minorBidi"/>
          <w:lang w:val="en-US" w:eastAsia="en-US"/>
        </w:rPr>
      </w:pPr>
      <w:r w:rsidRPr="00374A25">
        <w:rPr>
          <w:rFonts w:asciiTheme="minorHAnsi" w:eastAsiaTheme="minorHAnsi" w:hAnsiTheme="minorHAnsi" w:cstheme="minorBidi"/>
          <w:lang w:val="en-US" w:eastAsia="en-US"/>
        </w:rPr>
        <w:t>Across all message formats, participants understood 17% - 100% of the messages for each event type</w:t>
      </w:r>
      <w:r>
        <w:rPr>
          <w:rFonts w:asciiTheme="minorHAnsi" w:eastAsiaTheme="minorHAnsi" w:hAnsiTheme="minorHAnsi" w:cstheme="minorBidi"/>
          <w:lang w:val="en-US" w:eastAsia="en-US"/>
        </w:rPr>
        <w:t xml:space="preserve"> (Table 2)</w:t>
      </w:r>
      <w:r w:rsidRPr="00374A25">
        <w:rPr>
          <w:rFonts w:asciiTheme="minorHAnsi" w:eastAsiaTheme="minorHAnsi" w:hAnsiTheme="minorHAnsi" w:cstheme="minorBidi"/>
          <w:lang w:val="en-US" w:eastAsia="en-US"/>
        </w:rPr>
        <w:t>. All participants understood the tropical storm warning, while 80% of them understood the hurricane warning. Messages calling for immediate evacuation were the least understood</w:t>
      </w:r>
      <w:r w:rsidR="00336318">
        <w:rPr>
          <w:rFonts w:asciiTheme="minorHAnsi" w:eastAsiaTheme="minorHAnsi" w:hAnsiTheme="minorHAnsi" w:cstheme="minorBidi"/>
          <w:lang w:val="en-US" w:eastAsia="en-US"/>
        </w:rPr>
        <w:t>,</w:t>
      </w:r>
      <w:r w:rsidRPr="00374A25">
        <w:rPr>
          <w:rFonts w:asciiTheme="minorHAnsi" w:eastAsiaTheme="minorHAnsi" w:hAnsiTheme="minorHAnsi" w:cstheme="minorBidi"/>
          <w:lang w:val="en-US" w:eastAsia="en-US"/>
        </w:rPr>
        <w:t xml:space="preserve"> with only 17% of these events identified correctly. The presence of the symbology for this event seemed to be confusing; three out of the four times that this symbology was viewed, participants stated that it indicated they should </w:t>
      </w:r>
      <w:r w:rsidR="004B1207">
        <w:rPr>
          <w:rFonts w:asciiTheme="minorHAnsi" w:eastAsiaTheme="minorHAnsi" w:hAnsiTheme="minorHAnsi" w:cstheme="minorBidi"/>
          <w:lang w:val="en-US" w:eastAsia="en-US"/>
        </w:rPr>
        <w:t>"</w:t>
      </w:r>
      <w:r w:rsidRPr="00374A25">
        <w:rPr>
          <w:rFonts w:asciiTheme="minorHAnsi" w:eastAsiaTheme="minorHAnsi" w:hAnsiTheme="minorHAnsi" w:cstheme="minorBidi"/>
          <w:lang w:val="en-US" w:eastAsia="en-US"/>
        </w:rPr>
        <w:t>go slow</w:t>
      </w:r>
      <w:r w:rsidR="004B1207">
        <w:rPr>
          <w:rFonts w:asciiTheme="minorHAnsi" w:eastAsiaTheme="minorHAnsi" w:hAnsiTheme="minorHAnsi" w:cstheme="minorBidi"/>
          <w:lang w:val="en-US" w:eastAsia="en-US"/>
        </w:rPr>
        <w:t>"</w:t>
      </w:r>
      <w:r w:rsidRPr="00374A25">
        <w:rPr>
          <w:rFonts w:asciiTheme="minorHAnsi" w:eastAsiaTheme="minorHAnsi" w:hAnsiTheme="minorHAnsi" w:cstheme="minorBidi"/>
          <w:lang w:val="en-US" w:eastAsia="en-US"/>
        </w:rPr>
        <w:t xml:space="preserve"> or </w:t>
      </w:r>
      <w:r w:rsidR="004B1207">
        <w:rPr>
          <w:rFonts w:asciiTheme="minorHAnsi" w:eastAsiaTheme="minorHAnsi" w:hAnsiTheme="minorHAnsi" w:cstheme="minorBidi"/>
          <w:lang w:val="en-US" w:eastAsia="en-US"/>
        </w:rPr>
        <w:t>"</w:t>
      </w:r>
      <w:r w:rsidRPr="00374A25">
        <w:rPr>
          <w:rFonts w:asciiTheme="minorHAnsi" w:eastAsiaTheme="minorHAnsi" w:hAnsiTheme="minorHAnsi" w:cstheme="minorBidi"/>
          <w:lang w:val="en-US" w:eastAsia="en-US"/>
        </w:rPr>
        <w:t>walk don</w:t>
      </w:r>
      <w:r w:rsidR="004B1207">
        <w:rPr>
          <w:rFonts w:asciiTheme="minorHAnsi" w:eastAsiaTheme="minorHAnsi" w:hAnsiTheme="minorHAnsi" w:cstheme="minorBidi"/>
          <w:lang w:val="en-US" w:eastAsia="en-US"/>
        </w:rPr>
        <w:t>'</w:t>
      </w:r>
      <w:r w:rsidRPr="00374A25">
        <w:rPr>
          <w:rFonts w:asciiTheme="minorHAnsi" w:eastAsiaTheme="minorHAnsi" w:hAnsiTheme="minorHAnsi" w:cstheme="minorBidi"/>
          <w:lang w:val="en-US" w:eastAsia="en-US"/>
        </w:rPr>
        <w:t>t run.</w:t>
      </w:r>
      <w:r w:rsidR="004B1207">
        <w:rPr>
          <w:rFonts w:asciiTheme="minorHAnsi" w:eastAsiaTheme="minorHAnsi" w:hAnsiTheme="minorHAnsi" w:cstheme="minorBidi"/>
          <w:lang w:val="en-US" w:eastAsia="en-US"/>
        </w:rPr>
        <w:t>"</w:t>
      </w:r>
      <w:r w:rsidRPr="00374A25">
        <w:rPr>
          <w:rFonts w:asciiTheme="minorHAnsi" w:eastAsiaTheme="minorHAnsi" w:hAnsiTheme="minorHAnsi" w:cstheme="minorBidi"/>
          <w:lang w:val="en-US" w:eastAsia="en-US"/>
        </w:rPr>
        <w:t xml:space="preserve"> Five participants who understood that the event was asking them to evacuate explained that they didn</w:t>
      </w:r>
      <w:r w:rsidR="004B1207">
        <w:rPr>
          <w:rFonts w:asciiTheme="minorHAnsi" w:eastAsiaTheme="minorHAnsi" w:hAnsiTheme="minorHAnsi" w:cstheme="minorBidi"/>
          <w:lang w:val="en-US" w:eastAsia="en-US"/>
        </w:rPr>
        <w:t>'</w:t>
      </w:r>
      <w:r w:rsidRPr="00374A25">
        <w:rPr>
          <w:rFonts w:asciiTheme="minorHAnsi" w:eastAsiaTheme="minorHAnsi" w:hAnsiTheme="minorHAnsi" w:cstheme="minorBidi"/>
          <w:lang w:val="en-US" w:eastAsia="en-US"/>
        </w:rPr>
        <w:t>t know where to go, one clarifying</w:t>
      </w:r>
      <w:r w:rsidR="00336318">
        <w:rPr>
          <w:rFonts w:asciiTheme="minorHAnsi" w:eastAsiaTheme="minorHAnsi" w:hAnsiTheme="minorHAnsi" w:cstheme="minorBidi"/>
          <w:lang w:val="en-US" w:eastAsia="en-US"/>
        </w:rPr>
        <w:t>,</w:t>
      </w:r>
      <w:r w:rsidRPr="00374A25">
        <w:rPr>
          <w:rFonts w:asciiTheme="minorHAnsi" w:eastAsiaTheme="minorHAnsi" w:hAnsiTheme="minorHAnsi" w:cstheme="minorBidi"/>
          <w:lang w:val="en-US" w:eastAsia="en-US"/>
        </w:rPr>
        <w:t xml:space="preserve"> </w:t>
      </w:r>
      <w:r w:rsidR="004B1207">
        <w:rPr>
          <w:rFonts w:asciiTheme="minorHAnsi" w:eastAsiaTheme="minorHAnsi" w:hAnsiTheme="minorHAnsi" w:cstheme="minorBidi"/>
          <w:lang w:val="en-US" w:eastAsia="en-US"/>
        </w:rPr>
        <w:t>"</w:t>
      </w:r>
      <w:r w:rsidRPr="00374A25">
        <w:rPr>
          <w:rFonts w:asciiTheme="minorHAnsi" w:eastAsiaTheme="minorHAnsi" w:hAnsiTheme="minorHAnsi" w:cstheme="minorBidi"/>
          <w:lang w:val="en-US" w:eastAsia="en-US"/>
        </w:rPr>
        <w:t>I don</w:t>
      </w:r>
      <w:r w:rsidR="004B1207">
        <w:rPr>
          <w:rFonts w:asciiTheme="minorHAnsi" w:eastAsiaTheme="minorHAnsi" w:hAnsiTheme="minorHAnsi" w:cstheme="minorBidi"/>
          <w:lang w:val="en-US" w:eastAsia="en-US"/>
        </w:rPr>
        <w:t>'</w:t>
      </w:r>
      <w:r w:rsidRPr="00374A25">
        <w:rPr>
          <w:rFonts w:asciiTheme="minorHAnsi" w:eastAsiaTheme="minorHAnsi" w:hAnsiTheme="minorHAnsi" w:cstheme="minorBidi"/>
          <w:lang w:val="en-US" w:eastAsia="en-US"/>
        </w:rPr>
        <w:t>t know where the safe places are.</w:t>
      </w:r>
      <w:r w:rsidR="004B1207">
        <w:rPr>
          <w:rFonts w:asciiTheme="minorHAnsi" w:eastAsiaTheme="minorHAnsi" w:hAnsiTheme="minorHAnsi" w:cstheme="minorBidi"/>
          <w:lang w:val="en-US" w:eastAsia="en-US"/>
        </w:rPr>
        <w:t>"</w:t>
      </w:r>
      <w:r w:rsidRPr="00374A25">
        <w:rPr>
          <w:rFonts w:asciiTheme="minorHAnsi" w:eastAsiaTheme="minorHAnsi" w:hAnsiTheme="minorHAnsi" w:cstheme="minorBidi"/>
          <w:lang w:val="en-US" w:eastAsia="en-US"/>
        </w:rPr>
        <w:t xml:space="preserve"> The Hazardous Materials event was only understood by the person who saw the message in TWS format. He stated that the presence of the </w:t>
      </w:r>
      <w:r w:rsidR="004B1207">
        <w:rPr>
          <w:rFonts w:asciiTheme="minorHAnsi" w:eastAsiaTheme="minorHAnsi" w:hAnsiTheme="minorHAnsi" w:cstheme="minorBidi"/>
          <w:lang w:val="en-US" w:eastAsia="en-US"/>
        </w:rPr>
        <w:t>"</w:t>
      </w:r>
      <w:r w:rsidRPr="00374A25">
        <w:rPr>
          <w:rFonts w:asciiTheme="minorHAnsi" w:eastAsiaTheme="minorHAnsi" w:hAnsiTheme="minorHAnsi" w:cstheme="minorBidi"/>
          <w:lang w:val="en-US" w:eastAsia="en-US"/>
        </w:rPr>
        <w:t>chemicals</w:t>
      </w:r>
      <w:r w:rsidR="004B1207">
        <w:rPr>
          <w:rFonts w:asciiTheme="minorHAnsi" w:eastAsiaTheme="minorHAnsi" w:hAnsiTheme="minorHAnsi" w:cstheme="minorBidi"/>
          <w:lang w:val="en-US" w:eastAsia="en-US"/>
        </w:rPr>
        <w:t>"</w:t>
      </w:r>
      <w:r w:rsidRPr="00374A25">
        <w:rPr>
          <w:rFonts w:asciiTheme="minorHAnsi" w:eastAsiaTheme="minorHAnsi" w:hAnsiTheme="minorHAnsi" w:cstheme="minorBidi"/>
          <w:lang w:val="en-US" w:eastAsia="en-US"/>
        </w:rPr>
        <w:t xml:space="preserve"> in the symbol helped him understand the word Hazardous. Chi-squared distribution analysis did not show statistically significant differences in </w:t>
      </w:r>
      <w:r w:rsidR="00336318">
        <w:rPr>
          <w:rFonts w:asciiTheme="minorHAnsi" w:eastAsiaTheme="minorHAnsi" w:hAnsiTheme="minorHAnsi" w:cstheme="minorBidi"/>
          <w:lang w:val="en-US" w:eastAsia="en-US"/>
        </w:rPr>
        <w:t>understanding</w:t>
      </w:r>
      <w:r w:rsidRPr="00374A25">
        <w:rPr>
          <w:rFonts w:asciiTheme="minorHAnsi" w:eastAsiaTheme="minorHAnsi" w:hAnsiTheme="minorHAnsi" w:cstheme="minorBidi"/>
          <w:lang w:val="en-US" w:eastAsia="en-US"/>
        </w:rPr>
        <w:t xml:space="preserve"> events based on what events were occurring.  </w:t>
      </w:r>
    </w:p>
    <w:p w14:paraId="04AF38C7" w14:textId="04196067" w:rsidR="00CC251B" w:rsidRPr="006249CC" w:rsidRDefault="00CC251B" w:rsidP="006249CC">
      <w:pPr>
        <w:pStyle w:val="Tabletitle"/>
        <w:spacing w:before="120" w:line="252" w:lineRule="auto"/>
        <w:rPr>
          <w:b/>
          <w:bCs/>
          <w:lang w:val="en-US"/>
        </w:rPr>
      </w:pPr>
      <w:r w:rsidRPr="006249CC">
        <w:rPr>
          <w:b/>
          <w:bCs/>
          <w:lang w:val="en-US"/>
        </w:rPr>
        <w:t xml:space="preserve">Table 2: </w:t>
      </w:r>
      <w:r w:rsidR="007007A2" w:rsidRPr="006249CC">
        <w:rPr>
          <w:b/>
          <w:bCs/>
          <w:lang w:val="en-US"/>
        </w:rPr>
        <w:t xml:space="preserve"> The type of event </w:t>
      </w:r>
      <w:r w:rsidR="001C5F80" w:rsidRPr="006249CC">
        <w:rPr>
          <w:b/>
          <w:bCs/>
          <w:lang w:val="en-US"/>
        </w:rPr>
        <w:t xml:space="preserve">viewed </w:t>
      </w:r>
      <w:r w:rsidR="007007A2" w:rsidRPr="006249CC">
        <w:rPr>
          <w:b/>
          <w:bCs/>
          <w:lang w:val="en-US"/>
        </w:rPr>
        <w:t xml:space="preserve">with a percentage of times the </w:t>
      </w:r>
      <w:r w:rsidR="00336318">
        <w:rPr>
          <w:b/>
          <w:bCs/>
          <w:lang w:val="en-US"/>
        </w:rPr>
        <w:t>participant understood the message eve</w:t>
      </w:r>
      <w:r w:rsidR="007007A2" w:rsidRPr="006249CC">
        <w:rPr>
          <w:b/>
          <w:bCs/>
          <w:lang w:val="en-US"/>
        </w:rPr>
        <w:t xml:space="preserve">nt.  </w:t>
      </w:r>
    </w:p>
    <w:tbl>
      <w:tblPr>
        <w:tblStyle w:val="TableGrid"/>
        <w:tblW w:w="0" w:type="auto"/>
        <w:tblLayout w:type="fixed"/>
        <w:tblLook w:val="04A0" w:firstRow="1" w:lastRow="0" w:firstColumn="1" w:lastColumn="0" w:noHBand="0" w:noVBand="1"/>
      </w:tblPr>
      <w:tblGrid>
        <w:gridCol w:w="3505"/>
        <w:gridCol w:w="900"/>
        <w:gridCol w:w="1530"/>
      </w:tblGrid>
      <w:tr w:rsidR="007007A2" w:rsidRPr="00D31354" w14:paraId="5EB778AD" w14:textId="5EBC6DE8" w:rsidTr="007B2B88">
        <w:tc>
          <w:tcPr>
            <w:tcW w:w="3505" w:type="dxa"/>
          </w:tcPr>
          <w:p w14:paraId="772AE929" w14:textId="77777777" w:rsidR="007007A2" w:rsidRPr="00D31354" w:rsidRDefault="007007A2" w:rsidP="00CF03D2">
            <w:pPr>
              <w:pStyle w:val="Newparagraph"/>
              <w:spacing w:line="240" w:lineRule="auto"/>
              <w:ind w:firstLine="0"/>
              <w:rPr>
                <w:b/>
                <w:bCs/>
                <w:lang w:val="en-US"/>
              </w:rPr>
            </w:pPr>
            <w:r w:rsidRPr="00D31354">
              <w:rPr>
                <w:b/>
                <w:bCs/>
                <w:lang w:val="en-US"/>
              </w:rPr>
              <w:t>Event</w:t>
            </w:r>
          </w:p>
        </w:tc>
        <w:tc>
          <w:tcPr>
            <w:tcW w:w="900" w:type="dxa"/>
          </w:tcPr>
          <w:p w14:paraId="443FCD65" w14:textId="77777777" w:rsidR="007007A2" w:rsidRPr="00D31354" w:rsidRDefault="007007A2" w:rsidP="00DB4FD5">
            <w:pPr>
              <w:pStyle w:val="Newparagraph"/>
              <w:spacing w:line="240" w:lineRule="auto"/>
              <w:ind w:firstLine="0"/>
              <w:jc w:val="right"/>
              <w:rPr>
                <w:b/>
                <w:bCs/>
                <w:lang w:val="en-US"/>
              </w:rPr>
            </w:pPr>
            <w:r>
              <w:rPr>
                <w:b/>
                <w:bCs/>
                <w:lang w:val="en-US"/>
              </w:rPr>
              <w:t>Count</w:t>
            </w:r>
          </w:p>
        </w:tc>
        <w:tc>
          <w:tcPr>
            <w:tcW w:w="1530" w:type="dxa"/>
            <w:tcBorders>
              <w:bottom w:val="single" w:sz="4" w:space="0" w:color="auto"/>
            </w:tcBorders>
          </w:tcPr>
          <w:p w14:paraId="7DD142BB" w14:textId="42ACC0BC" w:rsidR="007007A2" w:rsidRDefault="007007A2" w:rsidP="00DB4FD5">
            <w:pPr>
              <w:pStyle w:val="Newparagraph"/>
              <w:spacing w:line="240" w:lineRule="auto"/>
              <w:ind w:firstLine="0"/>
              <w:jc w:val="right"/>
              <w:rPr>
                <w:b/>
                <w:bCs/>
                <w:lang w:val="en-US"/>
              </w:rPr>
            </w:pPr>
            <w:r>
              <w:rPr>
                <w:b/>
                <w:bCs/>
                <w:lang w:val="en-US"/>
              </w:rPr>
              <w:t xml:space="preserve">% of understood messages </w:t>
            </w:r>
          </w:p>
        </w:tc>
      </w:tr>
      <w:tr w:rsidR="007007A2" w14:paraId="4D31EFC6" w14:textId="2017F682" w:rsidTr="007B2B88">
        <w:tc>
          <w:tcPr>
            <w:tcW w:w="3505" w:type="dxa"/>
          </w:tcPr>
          <w:p w14:paraId="3F9D6EA6" w14:textId="77777777" w:rsidR="007007A2" w:rsidRDefault="007007A2" w:rsidP="007007A2">
            <w:pPr>
              <w:pStyle w:val="Newparagraph"/>
              <w:spacing w:line="240" w:lineRule="auto"/>
              <w:ind w:firstLine="0"/>
              <w:rPr>
                <w:lang w:val="en-US"/>
              </w:rPr>
            </w:pPr>
            <w:r>
              <w:rPr>
                <w:lang w:val="en-US"/>
              </w:rPr>
              <w:t>Blizzard</w:t>
            </w:r>
          </w:p>
        </w:tc>
        <w:tc>
          <w:tcPr>
            <w:tcW w:w="900" w:type="dxa"/>
          </w:tcPr>
          <w:p w14:paraId="15AA9C11" w14:textId="77777777" w:rsidR="007007A2" w:rsidRDefault="007007A2" w:rsidP="007007A2">
            <w:pPr>
              <w:pStyle w:val="Newparagraph"/>
              <w:spacing w:line="240" w:lineRule="auto"/>
              <w:ind w:firstLine="0"/>
              <w:jc w:val="right"/>
              <w:rPr>
                <w:lang w:val="en-US"/>
              </w:rPr>
            </w:pPr>
            <w:r>
              <w:rPr>
                <w:lang w:val="en-US"/>
              </w:rPr>
              <w:t>3</w:t>
            </w:r>
          </w:p>
        </w:tc>
        <w:tc>
          <w:tcPr>
            <w:tcW w:w="1530" w:type="dxa"/>
            <w:tcBorders>
              <w:top w:val="single" w:sz="4" w:space="0" w:color="auto"/>
              <w:left w:val="nil"/>
              <w:bottom w:val="single" w:sz="4" w:space="0" w:color="auto"/>
              <w:right w:val="single" w:sz="4" w:space="0" w:color="auto"/>
            </w:tcBorders>
            <w:shd w:val="clear" w:color="auto" w:fill="auto"/>
            <w:vAlign w:val="bottom"/>
          </w:tcPr>
          <w:p w14:paraId="52589817" w14:textId="3F906B45" w:rsidR="007007A2" w:rsidRDefault="007007A2" w:rsidP="007007A2">
            <w:pPr>
              <w:pStyle w:val="Newparagraph"/>
              <w:spacing w:line="240" w:lineRule="auto"/>
              <w:ind w:firstLine="0"/>
              <w:jc w:val="right"/>
              <w:rPr>
                <w:lang w:val="en-US"/>
              </w:rPr>
            </w:pPr>
            <w:r>
              <w:rPr>
                <w:rFonts w:ascii="Calibri" w:hAnsi="Calibri" w:cs="Calibri"/>
                <w:color w:val="000000"/>
                <w:sz w:val="22"/>
                <w:szCs w:val="22"/>
              </w:rPr>
              <w:t>67%</w:t>
            </w:r>
          </w:p>
        </w:tc>
      </w:tr>
      <w:tr w:rsidR="007007A2" w14:paraId="1C4B8904" w14:textId="7D8039EF" w:rsidTr="007B2B88">
        <w:tc>
          <w:tcPr>
            <w:tcW w:w="3505" w:type="dxa"/>
          </w:tcPr>
          <w:p w14:paraId="0FC8503B" w14:textId="77777777" w:rsidR="007007A2" w:rsidRDefault="007007A2" w:rsidP="007007A2">
            <w:pPr>
              <w:pStyle w:val="Newparagraph"/>
              <w:spacing w:line="240" w:lineRule="auto"/>
              <w:ind w:firstLine="0"/>
              <w:rPr>
                <w:lang w:val="en-US"/>
              </w:rPr>
            </w:pPr>
            <w:r>
              <w:rPr>
                <w:lang w:val="en-US"/>
              </w:rPr>
              <w:t>Civil Danger</w:t>
            </w:r>
          </w:p>
        </w:tc>
        <w:tc>
          <w:tcPr>
            <w:tcW w:w="900" w:type="dxa"/>
          </w:tcPr>
          <w:p w14:paraId="12BA9DFC" w14:textId="77777777" w:rsidR="007007A2" w:rsidRDefault="007007A2" w:rsidP="007007A2">
            <w:pPr>
              <w:pStyle w:val="Newparagraph"/>
              <w:spacing w:line="240" w:lineRule="auto"/>
              <w:ind w:firstLine="0"/>
              <w:jc w:val="right"/>
              <w:rPr>
                <w:lang w:val="en-US"/>
              </w:rPr>
            </w:pPr>
            <w:r>
              <w:rPr>
                <w:lang w:val="en-US"/>
              </w:rPr>
              <w:t>5</w:t>
            </w:r>
          </w:p>
        </w:tc>
        <w:tc>
          <w:tcPr>
            <w:tcW w:w="1530" w:type="dxa"/>
            <w:tcBorders>
              <w:top w:val="single" w:sz="4" w:space="0" w:color="auto"/>
              <w:left w:val="nil"/>
              <w:bottom w:val="single" w:sz="4" w:space="0" w:color="auto"/>
              <w:right w:val="single" w:sz="4" w:space="0" w:color="auto"/>
            </w:tcBorders>
            <w:shd w:val="clear" w:color="auto" w:fill="auto"/>
            <w:vAlign w:val="bottom"/>
          </w:tcPr>
          <w:p w14:paraId="3B3B79BD" w14:textId="22701680" w:rsidR="007007A2" w:rsidRDefault="007007A2" w:rsidP="007007A2">
            <w:pPr>
              <w:pStyle w:val="Newparagraph"/>
              <w:spacing w:line="240" w:lineRule="auto"/>
              <w:ind w:firstLine="0"/>
              <w:jc w:val="right"/>
              <w:rPr>
                <w:lang w:val="en-US"/>
              </w:rPr>
            </w:pPr>
            <w:r>
              <w:rPr>
                <w:rFonts w:ascii="Calibri" w:hAnsi="Calibri" w:cs="Calibri"/>
                <w:color w:val="000000"/>
                <w:sz w:val="22"/>
                <w:szCs w:val="22"/>
              </w:rPr>
              <w:t>20%</w:t>
            </w:r>
          </w:p>
        </w:tc>
      </w:tr>
      <w:tr w:rsidR="007007A2" w14:paraId="3863040D" w14:textId="1C345A87" w:rsidTr="007B2B88">
        <w:tc>
          <w:tcPr>
            <w:tcW w:w="3505" w:type="dxa"/>
          </w:tcPr>
          <w:p w14:paraId="18D42856" w14:textId="77777777" w:rsidR="007007A2" w:rsidRDefault="007007A2" w:rsidP="007007A2">
            <w:pPr>
              <w:pStyle w:val="Newparagraph"/>
              <w:spacing w:line="240" w:lineRule="auto"/>
              <w:ind w:firstLine="0"/>
              <w:rPr>
                <w:lang w:val="en-US"/>
              </w:rPr>
            </w:pPr>
            <w:r>
              <w:rPr>
                <w:lang w:val="en-US"/>
              </w:rPr>
              <w:t>Dust Storm</w:t>
            </w:r>
          </w:p>
        </w:tc>
        <w:tc>
          <w:tcPr>
            <w:tcW w:w="900" w:type="dxa"/>
          </w:tcPr>
          <w:p w14:paraId="1E1C2277" w14:textId="77777777" w:rsidR="007007A2" w:rsidRDefault="007007A2" w:rsidP="007007A2">
            <w:pPr>
              <w:pStyle w:val="Newparagraph"/>
              <w:spacing w:line="240" w:lineRule="auto"/>
              <w:ind w:firstLine="0"/>
              <w:jc w:val="right"/>
              <w:rPr>
                <w:lang w:val="en-US"/>
              </w:rPr>
            </w:pPr>
            <w:r>
              <w:rPr>
                <w:lang w:val="en-US"/>
              </w:rPr>
              <w:t>4</w:t>
            </w:r>
          </w:p>
        </w:tc>
        <w:tc>
          <w:tcPr>
            <w:tcW w:w="1530" w:type="dxa"/>
            <w:tcBorders>
              <w:top w:val="single" w:sz="4" w:space="0" w:color="auto"/>
              <w:left w:val="nil"/>
              <w:bottom w:val="single" w:sz="4" w:space="0" w:color="auto"/>
              <w:right w:val="single" w:sz="4" w:space="0" w:color="auto"/>
            </w:tcBorders>
            <w:shd w:val="clear" w:color="auto" w:fill="auto"/>
            <w:vAlign w:val="bottom"/>
          </w:tcPr>
          <w:p w14:paraId="1F81A2D8" w14:textId="411BFD93" w:rsidR="007007A2" w:rsidRDefault="007007A2" w:rsidP="007007A2">
            <w:pPr>
              <w:pStyle w:val="Newparagraph"/>
              <w:spacing w:line="240" w:lineRule="auto"/>
              <w:ind w:firstLine="0"/>
              <w:jc w:val="right"/>
              <w:rPr>
                <w:lang w:val="en-US"/>
              </w:rPr>
            </w:pPr>
            <w:r>
              <w:rPr>
                <w:rFonts w:ascii="Calibri" w:hAnsi="Calibri" w:cs="Calibri"/>
                <w:color w:val="000000"/>
                <w:sz w:val="22"/>
                <w:szCs w:val="22"/>
              </w:rPr>
              <w:t>75%</w:t>
            </w:r>
          </w:p>
        </w:tc>
      </w:tr>
      <w:tr w:rsidR="007007A2" w14:paraId="440F7B5E" w14:textId="28F9FC7C" w:rsidTr="007B2B88">
        <w:tc>
          <w:tcPr>
            <w:tcW w:w="3505" w:type="dxa"/>
          </w:tcPr>
          <w:p w14:paraId="499F31E0" w14:textId="77777777" w:rsidR="007007A2" w:rsidRDefault="007007A2" w:rsidP="007007A2">
            <w:pPr>
              <w:pStyle w:val="Newparagraph"/>
              <w:spacing w:line="240" w:lineRule="auto"/>
              <w:ind w:firstLine="0"/>
              <w:rPr>
                <w:lang w:val="en-US"/>
              </w:rPr>
            </w:pPr>
            <w:r>
              <w:rPr>
                <w:lang w:val="en-US"/>
              </w:rPr>
              <w:lastRenderedPageBreak/>
              <w:t>Earthquake</w:t>
            </w:r>
          </w:p>
        </w:tc>
        <w:tc>
          <w:tcPr>
            <w:tcW w:w="900" w:type="dxa"/>
          </w:tcPr>
          <w:p w14:paraId="7B493F54" w14:textId="77777777" w:rsidR="007007A2" w:rsidRDefault="007007A2" w:rsidP="007007A2">
            <w:pPr>
              <w:pStyle w:val="Newparagraph"/>
              <w:spacing w:line="240" w:lineRule="auto"/>
              <w:ind w:firstLine="0"/>
              <w:jc w:val="right"/>
              <w:rPr>
                <w:lang w:val="en-US"/>
              </w:rPr>
            </w:pPr>
            <w:r>
              <w:rPr>
                <w:lang w:val="en-US"/>
              </w:rPr>
              <w:t>4</w:t>
            </w:r>
          </w:p>
        </w:tc>
        <w:tc>
          <w:tcPr>
            <w:tcW w:w="1530" w:type="dxa"/>
            <w:tcBorders>
              <w:top w:val="single" w:sz="4" w:space="0" w:color="auto"/>
              <w:left w:val="nil"/>
              <w:bottom w:val="single" w:sz="4" w:space="0" w:color="auto"/>
              <w:right w:val="single" w:sz="4" w:space="0" w:color="auto"/>
            </w:tcBorders>
            <w:shd w:val="clear" w:color="auto" w:fill="auto"/>
            <w:vAlign w:val="bottom"/>
          </w:tcPr>
          <w:p w14:paraId="1957F2CC" w14:textId="69DBB868" w:rsidR="007007A2" w:rsidRDefault="007007A2" w:rsidP="007007A2">
            <w:pPr>
              <w:pStyle w:val="Newparagraph"/>
              <w:spacing w:line="240" w:lineRule="auto"/>
              <w:ind w:firstLine="0"/>
              <w:jc w:val="right"/>
              <w:rPr>
                <w:lang w:val="en-US"/>
              </w:rPr>
            </w:pPr>
            <w:r>
              <w:rPr>
                <w:rFonts w:ascii="Calibri" w:hAnsi="Calibri" w:cs="Calibri"/>
                <w:color w:val="000000"/>
                <w:sz w:val="22"/>
                <w:szCs w:val="22"/>
              </w:rPr>
              <w:t>50%</w:t>
            </w:r>
          </w:p>
        </w:tc>
      </w:tr>
      <w:tr w:rsidR="007007A2" w:rsidRPr="00A035FF" w14:paraId="6B0FAA8B" w14:textId="19CDA423" w:rsidTr="007B2B88">
        <w:tc>
          <w:tcPr>
            <w:tcW w:w="3505" w:type="dxa"/>
          </w:tcPr>
          <w:p w14:paraId="20FC96BF" w14:textId="77777777" w:rsidR="007007A2" w:rsidRDefault="007007A2" w:rsidP="007007A2">
            <w:pPr>
              <w:pStyle w:val="Newparagraph"/>
              <w:spacing w:line="240" w:lineRule="auto"/>
              <w:ind w:firstLine="0"/>
              <w:rPr>
                <w:lang w:val="en-US"/>
              </w:rPr>
            </w:pPr>
            <w:r>
              <w:rPr>
                <w:lang w:val="en-US"/>
              </w:rPr>
              <w:t>Evacuation Immediate</w:t>
            </w:r>
          </w:p>
        </w:tc>
        <w:tc>
          <w:tcPr>
            <w:tcW w:w="900" w:type="dxa"/>
          </w:tcPr>
          <w:p w14:paraId="152FEFD0" w14:textId="77777777" w:rsidR="007007A2" w:rsidRDefault="007007A2" w:rsidP="007007A2">
            <w:pPr>
              <w:pStyle w:val="Newparagraph"/>
              <w:spacing w:line="240" w:lineRule="auto"/>
              <w:ind w:firstLine="0"/>
              <w:jc w:val="right"/>
              <w:rPr>
                <w:lang w:val="en-US"/>
              </w:rPr>
            </w:pPr>
            <w:r>
              <w:rPr>
                <w:lang w:val="en-US"/>
              </w:rPr>
              <w:t>5</w:t>
            </w:r>
          </w:p>
        </w:tc>
        <w:tc>
          <w:tcPr>
            <w:tcW w:w="1530" w:type="dxa"/>
            <w:tcBorders>
              <w:top w:val="single" w:sz="4" w:space="0" w:color="auto"/>
              <w:left w:val="nil"/>
              <w:bottom w:val="single" w:sz="4" w:space="0" w:color="auto"/>
              <w:right w:val="single" w:sz="4" w:space="0" w:color="auto"/>
            </w:tcBorders>
            <w:shd w:val="clear" w:color="auto" w:fill="auto"/>
            <w:vAlign w:val="bottom"/>
          </w:tcPr>
          <w:p w14:paraId="011E9B2D" w14:textId="31C2BD2E" w:rsidR="007007A2" w:rsidRPr="00A035FF" w:rsidRDefault="00CC33B4" w:rsidP="007007A2">
            <w:pPr>
              <w:pStyle w:val="Newparagraph"/>
              <w:spacing w:line="240" w:lineRule="auto"/>
              <w:ind w:firstLine="0"/>
              <w:jc w:val="right"/>
              <w:rPr>
                <w:rFonts w:asciiTheme="minorHAnsi" w:hAnsiTheme="minorHAnsi" w:cstheme="minorHAnsi"/>
                <w:sz w:val="22"/>
                <w:szCs w:val="22"/>
                <w:lang w:val="en-US"/>
              </w:rPr>
            </w:pPr>
            <w:r w:rsidRPr="00A035FF">
              <w:rPr>
                <w:rFonts w:asciiTheme="minorHAnsi" w:hAnsiTheme="minorHAnsi" w:cstheme="minorHAnsi"/>
                <w:sz w:val="22"/>
                <w:szCs w:val="22"/>
                <w:lang w:val="en-US"/>
              </w:rPr>
              <w:t>40%</w:t>
            </w:r>
          </w:p>
        </w:tc>
      </w:tr>
      <w:tr w:rsidR="007007A2" w14:paraId="1D07F143" w14:textId="3676E6D6" w:rsidTr="007B2B88">
        <w:tc>
          <w:tcPr>
            <w:tcW w:w="3505" w:type="dxa"/>
          </w:tcPr>
          <w:p w14:paraId="530E883D" w14:textId="77777777" w:rsidR="007007A2" w:rsidRDefault="007007A2" w:rsidP="007007A2">
            <w:pPr>
              <w:pStyle w:val="Newparagraph"/>
              <w:spacing w:line="240" w:lineRule="auto"/>
              <w:ind w:firstLine="0"/>
              <w:rPr>
                <w:lang w:val="en-US"/>
              </w:rPr>
            </w:pPr>
            <w:r>
              <w:rPr>
                <w:lang w:val="en-US"/>
              </w:rPr>
              <w:t>Evacuation to Shelter</w:t>
            </w:r>
          </w:p>
        </w:tc>
        <w:tc>
          <w:tcPr>
            <w:tcW w:w="900" w:type="dxa"/>
          </w:tcPr>
          <w:p w14:paraId="6F8D5BCE" w14:textId="77777777" w:rsidR="007007A2" w:rsidRDefault="007007A2" w:rsidP="007007A2">
            <w:pPr>
              <w:pStyle w:val="Newparagraph"/>
              <w:spacing w:line="240" w:lineRule="auto"/>
              <w:ind w:firstLine="0"/>
              <w:jc w:val="right"/>
              <w:rPr>
                <w:lang w:val="en-US"/>
              </w:rPr>
            </w:pPr>
            <w:r>
              <w:rPr>
                <w:lang w:val="en-US"/>
              </w:rPr>
              <w:t>6</w:t>
            </w:r>
          </w:p>
        </w:tc>
        <w:tc>
          <w:tcPr>
            <w:tcW w:w="1530" w:type="dxa"/>
            <w:tcBorders>
              <w:top w:val="single" w:sz="4" w:space="0" w:color="auto"/>
              <w:left w:val="nil"/>
              <w:bottom w:val="single" w:sz="4" w:space="0" w:color="auto"/>
              <w:right w:val="single" w:sz="4" w:space="0" w:color="auto"/>
            </w:tcBorders>
            <w:shd w:val="clear" w:color="auto" w:fill="auto"/>
            <w:vAlign w:val="bottom"/>
          </w:tcPr>
          <w:p w14:paraId="0A825F36" w14:textId="03F1BE58" w:rsidR="007007A2" w:rsidRDefault="00A035FF" w:rsidP="007007A2">
            <w:pPr>
              <w:pStyle w:val="Newparagraph"/>
              <w:spacing w:line="240" w:lineRule="auto"/>
              <w:ind w:firstLine="0"/>
              <w:jc w:val="right"/>
              <w:rPr>
                <w:lang w:val="en-US"/>
              </w:rPr>
            </w:pPr>
            <w:r>
              <w:rPr>
                <w:rFonts w:ascii="Calibri" w:hAnsi="Calibri" w:cs="Calibri"/>
                <w:color w:val="000000"/>
                <w:sz w:val="22"/>
                <w:szCs w:val="22"/>
              </w:rPr>
              <w:t>17</w:t>
            </w:r>
            <w:r w:rsidR="007007A2">
              <w:rPr>
                <w:rFonts w:ascii="Calibri" w:hAnsi="Calibri" w:cs="Calibri"/>
                <w:color w:val="000000"/>
                <w:sz w:val="22"/>
                <w:szCs w:val="22"/>
              </w:rPr>
              <w:t>%</w:t>
            </w:r>
          </w:p>
        </w:tc>
      </w:tr>
      <w:tr w:rsidR="007007A2" w14:paraId="2DE8FE4C" w14:textId="2296BC23" w:rsidTr="007B2B88">
        <w:tc>
          <w:tcPr>
            <w:tcW w:w="3505" w:type="dxa"/>
          </w:tcPr>
          <w:p w14:paraId="54BF61E4" w14:textId="77777777" w:rsidR="007007A2" w:rsidRDefault="007007A2" w:rsidP="007007A2">
            <w:pPr>
              <w:pStyle w:val="Newparagraph"/>
              <w:spacing w:line="240" w:lineRule="auto"/>
              <w:ind w:firstLine="0"/>
              <w:rPr>
                <w:lang w:val="en-US"/>
              </w:rPr>
            </w:pPr>
            <w:r>
              <w:rPr>
                <w:lang w:val="en-US"/>
              </w:rPr>
              <w:t>Fire</w:t>
            </w:r>
          </w:p>
        </w:tc>
        <w:tc>
          <w:tcPr>
            <w:tcW w:w="900" w:type="dxa"/>
          </w:tcPr>
          <w:p w14:paraId="4D1B5DC4" w14:textId="77777777" w:rsidR="007007A2" w:rsidRDefault="007007A2" w:rsidP="007007A2">
            <w:pPr>
              <w:pStyle w:val="Newparagraph"/>
              <w:spacing w:line="240" w:lineRule="auto"/>
              <w:ind w:firstLine="0"/>
              <w:jc w:val="right"/>
              <w:rPr>
                <w:lang w:val="en-US"/>
              </w:rPr>
            </w:pPr>
            <w:r>
              <w:rPr>
                <w:lang w:val="en-US"/>
              </w:rPr>
              <w:t>4</w:t>
            </w:r>
          </w:p>
        </w:tc>
        <w:tc>
          <w:tcPr>
            <w:tcW w:w="1530" w:type="dxa"/>
            <w:tcBorders>
              <w:top w:val="single" w:sz="4" w:space="0" w:color="auto"/>
              <w:left w:val="nil"/>
              <w:bottom w:val="single" w:sz="4" w:space="0" w:color="auto"/>
              <w:right w:val="single" w:sz="4" w:space="0" w:color="auto"/>
            </w:tcBorders>
            <w:shd w:val="clear" w:color="auto" w:fill="auto"/>
            <w:vAlign w:val="bottom"/>
          </w:tcPr>
          <w:p w14:paraId="0BBC6276" w14:textId="25A00E8E" w:rsidR="007007A2" w:rsidRDefault="007007A2" w:rsidP="007007A2">
            <w:pPr>
              <w:pStyle w:val="Newparagraph"/>
              <w:spacing w:line="240" w:lineRule="auto"/>
              <w:ind w:firstLine="0"/>
              <w:jc w:val="right"/>
              <w:rPr>
                <w:lang w:val="en-US"/>
              </w:rPr>
            </w:pPr>
            <w:r>
              <w:rPr>
                <w:rFonts w:ascii="Calibri" w:hAnsi="Calibri" w:cs="Calibri"/>
                <w:color w:val="000000"/>
                <w:sz w:val="22"/>
                <w:szCs w:val="22"/>
              </w:rPr>
              <w:t>50%</w:t>
            </w:r>
          </w:p>
        </w:tc>
      </w:tr>
      <w:tr w:rsidR="007007A2" w14:paraId="537C33AD" w14:textId="6C1B5CB2" w:rsidTr="007B2B88">
        <w:tc>
          <w:tcPr>
            <w:tcW w:w="3505" w:type="dxa"/>
          </w:tcPr>
          <w:p w14:paraId="5E707822" w14:textId="77777777" w:rsidR="007007A2" w:rsidRDefault="007007A2" w:rsidP="007007A2">
            <w:pPr>
              <w:pStyle w:val="Newparagraph"/>
              <w:spacing w:line="240" w:lineRule="auto"/>
              <w:ind w:firstLine="0"/>
              <w:rPr>
                <w:lang w:val="en-US"/>
              </w:rPr>
            </w:pPr>
            <w:r>
              <w:rPr>
                <w:lang w:val="en-US"/>
              </w:rPr>
              <w:t>Flash Flood</w:t>
            </w:r>
          </w:p>
        </w:tc>
        <w:tc>
          <w:tcPr>
            <w:tcW w:w="900" w:type="dxa"/>
          </w:tcPr>
          <w:p w14:paraId="1BBD97FB" w14:textId="77777777" w:rsidR="007007A2" w:rsidRDefault="007007A2" w:rsidP="007007A2">
            <w:pPr>
              <w:pStyle w:val="Newparagraph"/>
              <w:spacing w:line="240" w:lineRule="auto"/>
              <w:ind w:firstLine="0"/>
              <w:jc w:val="right"/>
              <w:rPr>
                <w:lang w:val="en-US"/>
              </w:rPr>
            </w:pPr>
            <w:r>
              <w:rPr>
                <w:lang w:val="en-US"/>
              </w:rPr>
              <w:t>4</w:t>
            </w:r>
          </w:p>
        </w:tc>
        <w:tc>
          <w:tcPr>
            <w:tcW w:w="1530" w:type="dxa"/>
            <w:tcBorders>
              <w:top w:val="single" w:sz="4" w:space="0" w:color="auto"/>
              <w:left w:val="nil"/>
              <w:bottom w:val="single" w:sz="4" w:space="0" w:color="auto"/>
              <w:right w:val="single" w:sz="4" w:space="0" w:color="auto"/>
            </w:tcBorders>
            <w:shd w:val="clear" w:color="auto" w:fill="auto"/>
            <w:vAlign w:val="bottom"/>
          </w:tcPr>
          <w:p w14:paraId="70BFFA4B" w14:textId="085B237F" w:rsidR="007007A2" w:rsidRDefault="007007A2" w:rsidP="007007A2">
            <w:pPr>
              <w:pStyle w:val="Newparagraph"/>
              <w:spacing w:line="240" w:lineRule="auto"/>
              <w:ind w:firstLine="0"/>
              <w:jc w:val="right"/>
              <w:rPr>
                <w:lang w:val="en-US"/>
              </w:rPr>
            </w:pPr>
            <w:r>
              <w:rPr>
                <w:rFonts w:ascii="Calibri" w:hAnsi="Calibri" w:cs="Calibri"/>
                <w:color w:val="000000"/>
                <w:sz w:val="22"/>
                <w:szCs w:val="22"/>
              </w:rPr>
              <w:t>75%</w:t>
            </w:r>
          </w:p>
        </w:tc>
      </w:tr>
      <w:tr w:rsidR="007007A2" w14:paraId="42E6A399" w14:textId="30FE9EF8" w:rsidTr="007B2B88">
        <w:tc>
          <w:tcPr>
            <w:tcW w:w="3505" w:type="dxa"/>
          </w:tcPr>
          <w:p w14:paraId="5ED7563A" w14:textId="77777777" w:rsidR="007007A2" w:rsidRDefault="007007A2" w:rsidP="007007A2">
            <w:pPr>
              <w:pStyle w:val="Newparagraph"/>
              <w:spacing w:line="240" w:lineRule="auto"/>
              <w:ind w:firstLine="0"/>
              <w:rPr>
                <w:lang w:val="en-US"/>
              </w:rPr>
            </w:pPr>
            <w:r>
              <w:rPr>
                <w:lang w:val="en-US"/>
              </w:rPr>
              <w:t>Hazardous Material</w:t>
            </w:r>
          </w:p>
        </w:tc>
        <w:tc>
          <w:tcPr>
            <w:tcW w:w="900" w:type="dxa"/>
          </w:tcPr>
          <w:p w14:paraId="0613DBDF" w14:textId="77777777" w:rsidR="007007A2" w:rsidRDefault="007007A2" w:rsidP="007007A2">
            <w:pPr>
              <w:pStyle w:val="Newparagraph"/>
              <w:spacing w:line="240" w:lineRule="auto"/>
              <w:ind w:firstLine="0"/>
              <w:jc w:val="right"/>
              <w:rPr>
                <w:lang w:val="en-US"/>
              </w:rPr>
            </w:pPr>
            <w:r>
              <w:rPr>
                <w:lang w:val="en-US"/>
              </w:rPr>
              <w:t>4</w:t>
            </w:r>
          </w:p>
        </w:tc>
        <w:tc>
          <w:tcPr>
            <w:tcW w:w="1530" w:type="dxa"/>
            <w:tcBorders>
              <w:top w:val="single" w:sz="4" w:space="0" w:color="auto"/>
              <w:left w:val="nil"/>
              <w:bottom w:val="single" w:sz="4" w:space="0" w:color="auto"/>
              <w:right w:val="single" w:sz="4" w:space="0" w:color="auto"/>
            </w:tcBorders>
            <w:shd w:val="clear" w:color="auto" w:fill="auto"/>
            <w:vAlign w:val="bottom"/>
          </w:tcPr>
          <w:p w14:paraId="3325697C" w14:textId="2B6D84AC" w:rsidR="007007A2" w:rsidRDefault="007007A2" w:rsidP="007007A2">
            <w:pPr>
              <w:pStyle w:val="Newparagraph"/>
              <w:spacing w:line="240" w:lineRule="auto"/>
              <w:ind w:firstLine="0"/>
              <w:jc w:val="right"/>
              <w:rPr>
                <w:lang w:val="en-US"/>
              </w:rPr>
            </w:pPr>
            <w:r>
              <w:rPr>
                <w:rFonts w:ascii="Calibri" w:hAnsi="Calibri" w:cs="Calibri"/>
                <w:color w:val="000000"/>
                <w:sz w:val="22"/>
                <w:szCs w:val="22"/>
              </w:rPr>
              <w:t>25%</w:t>
            </w:r>
          </w:p>
        </w:tc>
      </w:tr>
      <w:tr w:rsidR="007007A2" w14:paraId="02E5EC48" w14:textId="00DE240E" w:rsidTr="007B2B88">
        <w:tc>
          <w:tcPr>
            <w:tcW w:w="3505" w:type="dxa"/>
          </w:tcPr>
          <w:p w14:paraId="251EF728" w14:textId="77777777" w:rsidR="007007A2" w:rsidRDefault="007007A2" w:rsidP="007007A2">
            <w:pPr>
              <w:pStyle w:val="Newparagraph"/>
              <w:spacing w:line="240" w:lineRule="auto"/>
              <w:ind w:firstLine="0"/>
              <w:rPr>
                <w:lang w:val="en-US"/>
              </w:rPr>
            </w:pPr>
            <w:r>
              <w:rPr>
                <w:lang w:val="en-US"/>
              </w:rPr>
              <w:t>High Wind</w:t>
            </w:r>
          </w:p>
        </w:tc>
        <w:tc>
          <w:tcPr>
            <w:tcW w:w="900" w:type="dxa"/>
          </w:tcPr>
          <w:p w14:paraId="2FFC7374" w14:textId="77777777" w:rsidR="007007A2" w:rsidRDefault="007007A2" w:rsidP="007007A2">
            <w:pPr>
              <w:pStyle w:val="Newparagraph"/>
              <w:spacing w:line="240" w:lineRule="auto"/>
              <w:ind w:firstLine="0"/>
              <w:jc w:val="right"/>
              <w:rPr>
                <w:lang w:val="en-US"/>
              </w:rPr>
            </w:pPr>
            <w:r>
              <w:rPr>
                <w:lang w:val="en-US"/>
              </w:rPr>
              <w:t>7</w:t>
            </w:r>
          </w:p>
        </w:tc>
        <w:tc>
          <w:tcPr>
            <w:tcW w:w="1530" w:type="dxa"/>
            <w:tcBorders>
              <w:top w:val="single" w:sz="4" w:space="0" w:color="auto"/>
              <w:left w:val="nil"/>
              <w:bottom w:val="single" w:sz="4" w:space="0" w:color="auto"/>
              <w:right w:val="single" w:sz="4" w:space="0" w:color="auto"/>
            </w:tcBorders>
            <w:shd w:val="clear" w:color="auto" w:fill="auto"/>
            <w:vAlign w:val="bottom"/>
          </w:tcPr>
          <w:p w14:paraId="6519E79A" w14:textId="2387838B" w:rsidR="007007A2" w:rsidRDefault="007007A2" w:rsidP="007007A2">
            <w:pPr>
              <w:pStyle w:val="Newparagraph"/>
              <w:spacing w:line="240" w:lineRule="auto"/>
              <w:ind w:firstLine="0"/>
              <w:jc w:val="right"/>
              <w:rPr>
                <w:lang w:val="en-US"/>
              </w:rPr>
            </w:pPr>
            <w:r>
              <w:rPr>
                <w:rFonts w:ascii="Calibri" w:hAnsi="Calibri" w:cs="Calibri"/>
                <w:color w:val="000000"/>
                <w:sz w:val="22"/>
                <w:szCs w:val="22"/>
              </w:rPr>
              <w:t>71%</w:t>
            </w:r>
          </w:p>
        </w:tc>
      </w:tr>
      <w:tr w:rsidR="007007A2" w14:paraId="688D8C11" w14:textId="158C5DB0" w:rsidTr="007B2B88">
        <w:tc>
          <w:tcPr>
            <w:tcW w:w="3505" w:type="dxa"/>
          </w:tcPr>
          <w:p w14:paraId="49A6300A" w14:textId="77777777" w:rsidR="007007A2" w:rsidRDefault="007007A2" w:rsidP="007007A2">
            <w:pPr>
              <w:pStyle w:val="Newparagraph"/>
              <w:spacing w:line="240" w:lineRule="auto"/>
              <w:ind w:firstLine="0"/>
              <w:rPr>
                <w:lang w:val="en-US"/>
              </w:rPr>
            </w:pPr>
            <w:r>
              <w:rPr>
                <w:lang w:val="en-US"/>
              </w:rPr>
              <w:t>Hurricane</w:t>
            </w:r>
          </w:p>
        </w:tc>
        <w:tc>
          <w:tcPr>
            <w:tcW w:w="900" w:type="dxa"/>
          </w:tcPr>
          <w:p w14:paraId="078DDE15" w14:textId="77777777" w:rsidR="007007A2" w:rsidRDefault="007007A2" w:rsidP="007007A2">
            <w:pPr>
              <w:pStyle w:val="Newparagraph"/>
              <w:spacing w:line="240" w:lineRule="auto"/>
              <w:ind w:firstLine="0"/>
              <w:jc w:val="right"/>
              <w:rPr>
                <w:lang w:val="en-US"/>
              </w:rPr>
            </w:pPr>
            <w:r>
              <w:rPr>
                <w:lang w:val="en-US"/>
              </w:rPr>
              <w:t>5</w:t>
            </w:r>
          </w:p>
        </w:tc>
        <w:tc>
          <w:tcPr>
            <w:tcW w:w="1530" w:type="dxa"/>
            <w:tcBorders>
              <w:top w:val="single" w:sz="4" w:space="0" w:color="auto"/>
              <w:left w:val="nil"/>
              <w:bottom w:val="single" w:sz="4" w:space="0" w:color="auto"/>
              <w:right w:val="single" w:sz="4" w:space="0" w:color="auto"/>
            </w:tcBorders>
            <w:shd w:val="clear" w:color="auto" w:fill="auto"/>
            <w:vAlign w:val="bottom"/>
          </w:tcPr>
          <w:p w14:paraId="44F2F238" w14:textId="20CE22CC" w:rsidR="007007A2" w:rsidRDefault="007007A2" w:rsidP="007007A2">
            <w:pPr>
              <w:pStyle w:val="Newparagraph"/>
              <w:spacing w:line="240" w:lineRule="auto"/>
              <w:ind w:firstLine="0"/>
              <w:jc w:val="right"/>
              <w:rPr>
                <w:lang w:val="en-US"/>
              </w:rPr>
            </w:pPr>
            <w:r>
              <w:rPr>
                <w:rFonts w:ascii="Calibri" w:hAnsi="Calibri" w:cs="Calibri"/>
                <w:color w:val="000000"/>
                <w:sz w:val="22"/>
                <w:szCs w:val="22"/>
              </w:rPr>
              <w:t>80%</w:t>
            </w:r>
          </w:p>
        </w:tc>
      </w:tr>
      <w:tr w:rsidR="007007A2" w14:paraId="2E110235" w14:textId="4E3B84AD" w:rsidTr="007B2B88">
        <w:tc>
          <w:tcPr>
            <w:tcW w:w="3505" w:type="dxa"/>
          </w:tcPr>
          <w:p w14:paraId="19434A1C" w14:textId="77777777" w:rsidR="007007A2" w:rsidRDefault="007007A2" w:rsidP="007007A2">
            <w:pPr>
              <w:pStyle w:val="Newparagraph"/>
              <w:spacing w:line="240" w:lineRule="auto"/>
              <w:ind w:firstLine="0"/>
              <w:rPr>
                <w:lang w:val="en-US"/>
              </w:rPr>
            </w:pPr>
            <w:r>
              <w:rPr>
                <w:lang w:val="en-US"/>
              </w:rPr>
              <w:t>Law Enforcement</w:t>
            </w:r>
          </w:p>
        </w:tc>
        <w:tc>
          <w:tcPr>
            <w:tcW w:w="900" w:type="dxa"/>
          </w:tcPr>
          <w:p w14:paraId="457ED728" w14:textId="77777777" w:rsidR="007007A2" w:rsidRDefault="007007A2" w:rsidP="007007A2">
            <w:pPr>
              <w:pStyle w:val="Newparagraph"/>
              <w:spacing w:line="240" w:lineRule="auto"/>
              <w:ind w:firstLine="0"/>
              <w:jc w:val="right"/>
              <w:rPr>
                <w:lang w:val="en-US"/>
              </w:rPr>
            </w:pPr>
            <w:r>
              <w:rPr>
                <w:lang w:val="en-US"/>
              </w:rPr>
              <w:t>5</w:t>
            </w:r>
          </w:p>
        </w:tc>
        <w:tc>
          <w:tcPr>
            <w:tcW w:w="1530" w:type="dxa"/>
            <w:tcBorders>
              <w:top w:val="single" w:sz="4" w:space="0" w:color="auto"/>
              <w:left w:val="nil"/>
              <w:bottom w:val="single" w:sz="4" w:space="0" w:color="auto"/>
              <w:right w:val="single" w:sz="4" w:space="0" w:color="auto"/>
            </w:tcBorders>
            <w:shd w:val="clear" w:color="auto" w:fill="auto"/>
            <w:vAlign w:val="bottom"/>
          </w:tcPr>
          <w:p w14:paraId="5C5DB79D" w14:textId="1F19A189" w:rsidR="007007A2" w:rsidRDefault="007007A2" w:rsidP="007007A2">
            <w:pPr>
              <w:pStyle w:val="Newparagraph"/>
              <w:spacing w:line="240" w:lineRule="auto"/>
              <w:ind w:firstLine="0"/>
              <w:jc w:val="right"/>
              <w:rPr>
                <w:lang w:val="en-US"/>
              </w:rPr>
            </w:pPr>
            <w:r>
              <w:rPr>
                <w:rFonts w:ascii="Calibri" w:hAnsi="Calibri" w:cs="Calibri"/>
                <w:color w:val="000000"/>
                <w:sz w:val="22"/>
                <w:szCs w:val="22"/>
              </w:rPr>
              <w:t>60%</w:t>
            </w:r>
          </w:p>
        </w:tc>
      </w:tr>
      <w:tr w:rsidR="007007A2" w14:paraId="12F73C9B" w14:textId="75B288B9" w:rsidTr="007B2B88">
        <w:tc>
          <w:tcPr>
            <w:tcW w:w="3505" w:type="dxa"/>
          </w:tcPr>
          <w:p w14:paraId="5D8E7B93" w14:textId="77777777" w:rsidR="007007A2" w:rsidRDefault="007007A2" w:rsidP="007007A2">
            <w:pPr>
              <w:pStyle w:val="Newparagraph"/>
              <w:spacing w:line="240" w:lineRule="auto"/>
              <w:ind w:firstLine="0"/>
              <w:rPr>
                <w:lang w:val="en-US"/>
              </w:rPr>
            </w:pPr>
            <w:r>
              <w:rPr>
                <w:lang w:val="en-US"/>
              </w:rPr>
              <w:t>911 Outage</w:t>
            </w:r>
          </w:p>
        </w:tc>
        <w:tc>
          <w:tcPr>
            <w:tcW w:w="900" w:type="dxa"/>
          </w:tcPr>
          <w:p w14:paraId="3E27ABD1" w14:textId="77777777" w:rsidR="007007A2" w:rsidRDefault="007007A2" w:rsidP="007007A2">
            <w:pPr>
              <w:pStyle w:val="Newparagraph"/>
              <w:spacing w:line="240" w:lineRule="auto"/>
              <w:ind w:firstLine="0"/>
              <w:jc w:val="right"/>
              <w:rPr>
                <w:lang w:val="en-US"/>
              </w:rPr>
            </w:pPr>
            <w:r>
              <w:rPr>
                <w:lang w:val="en-US"/>
              </w:rPr>
              <w:t>7</w:t>
            </w:r>
          </w:p>
        </w:tc>
        <w:tc>
          <w:tcPr>
            <w:tcW w:w="1530" w:type="dxa"/>
            <w:tcBorders>
              <w:top w:val="single" w:sz="4" w:space="0" w:color="auto"/>
              <w:bottom w:val="single" w:sz="4" w:space="0" w:color="auto"/>
            </w:tcBorders>
          </w:tcPr>
          <w:p w14:paraId="5D340A41" w14:textId="79467AD3" w:rsidR="007007A2" w:rsidRPr="00A909BB" w:rsidRDefault="007007A2" w:rsidP="007007A2">
            <w:pPr>
              <w:pStyle w:val="Newparagraph"/>
              <w:spacing w:line="240" w:lineRule="auto"/>
              <w:ind w:firstLine="0"/>
              <w:jc w:val="right"/>
              <w:rPr>
                <w:rFonts w:asciiTheme="minorHAnsi" w:hAnsiTheme="minorHAnsi" w:cstheme="minorHAnsi"/>
                <w:sz w:val="22"/>
                <w:szCs w:val="22"/>
                <w:lang w:val="en-US"/>
              </w:rPr>
            </w:pPr>
            <w:r w:rsidRPr="00A909BB">
              <w:rPr>
                <w:rFonts w:asciiTheme="minorHAnsi" w:hAnsiTheme="minorHAnsi" w:cstheme="minorHAnsi"/>
                <w:sz w:val="22"/>
                <w:szCs w:val="22"/>
                <w:lang w:val="en-US"/>
              </w:rPr>
              <w:t>43%</w:t>
            </w:r>
          </w:p>
        </w:tc>
      </w:tr>
      <w:tr w:rsidR="007007A2" w14:paraId="479F9B1B" w14:textId="3946EFC7" w:rsidTr="007B2B88">
        <w:tc>
          <w:tcPr>
            <w:tcW w:w="3505" w:type="dxa"/>
          </w:tcPr>
          <w:p w14:paraId="31DCCB52" w14:textId="77777777" w:rsidR="007007A2" w:rsidRDefault="007007A2" w:rsidP="007007A2">
            <w:pPr>
              <w:pStyle w:val="Newparagraph"/>
              <w:spacing w:line="240" w:lineRule="auto"/>
              <w:ind w:firstLine="0"/>
              <w:rPr>
                <w:lang w:val="en-US"/>
              </w:rPr>
            </w:pPr>
            <w:r>
              <w:rPr>
                <w:lang w:val="en-US"/>
              </w:rPr>
              <w:t>Nuclear Power Plant</w:t>
            </w:r>
          </w:p>
        </w:tc>
        <w:tc>
          <w:tcPr>
            <w:tcW w:w="900" w:type="dxa"/>
          </w:tcPr>
          <w:p w14:paraId="7E70C76D" w14:textId="77777777" w:rsidR="007007A2" w:rsidRDefault="007007A2" w:rsidP="007007A2">
            <w:pPr>
              <w:pStyle w:val="Newparagraph"/>
              <w:spacing w:line="240" w:lineRule="auto"/>
              <w:ind w:firstLine="0"/>
              <w:jc w:val="right"/>
              <w:rPr>
                <w:lang w:val="en-US"/>
              </w:rPr>
            </w:pPr>
            <w:r>
              <w:rPr>
                <w:lang w:val="en-US"/>
              </w:rPr>
              <w:t>4</w:t>
            </w:r>
          </w:p>
        </w:tc>
        <w:tc>
          <w:tcPr>
            <w:tcW w:w="1530" w:type="dxa"/>
            <w:tcBorders>
              <w:top w:val="single" w:sz="4" w:space="0" w:color="auto"/>
              <w:left w:val="nil"/>
              <w:bottom w:val="single" w:sz="4" w:space="0" w:color="auto"/>
              <w:right w:val="single" w:sz="4" w:space="0" w:color="auto"/>
            </w:tcBorders>
            <w:shd w:val="clear" w:color="auto" w:fill="auto"/>
            <w:vAlign w:val="bottom"/>
          </w:tcPr>
          <w:p w14:paraId="71697FCE" w14:textId="3351767A" w:rsidR="007007A2" w:rsidRDefault="007007A2" w:rsidP="007007A2">
            <w:pPr>
              <w:pStyle w:val="Newparagraph"/>
              <w:spacing w:line="240" w:lineRule="auto"/>
              <w:ind w:firstLine="0"/>
              <w:jc w:val="right"/>
              <w:rPr>
                <w:lang w:val="en-US"/>
              </w:rPr>
            </w:pPr>
            <w:r>
              <w:rPr>
                <w:rFonts w:ascii="Calibri" w:hAnsi="Calibri" w:cs="Calibri"/>
                <w:color w:val="000000"/>
                <w:sz w:val="22"/>
                <w:szCs w:val="22"/>
              </w:rPr>
              <w:t>50%</w:t>
            </w:r>
          </w:p>
        </w:tc>
      </w:tr>
      <w:tr w:rsidR="007007A2" w14:paraId="0A812217" w14:textId="7746F908" w:rsidTr="007B2B88">
        <w:tc>
          <w:tcPr>
            <w:tcW w:w="3505" w:type="dxa"/>
          </w:tcPr>
          <w:p w14:paraId="510E340C" w14:textId="77777777" w:rsidR="007007A2" w:rsidRDefault="007007A2" w:rsidP="007007A2">
            <w:pPr>
              <w:pStyle w:val="Newparagraph"/>
              <w:spacing w:line="240" w:lineRule="auto"/>
              <w:ind w:firstLine="0"/>
              <w:rPr>
                <w:lang w:val="en-US"/>
              </w:rPr>
            </w:pPr>
            <w:r>
              <w:rPr>
                <w:lang w:val="en-US"/>
              </w:rPr>
              <w:t>Shelter in Place</w:t>
            </w:r>
          </w:p>
        </w:tc>
        <w:tc>
          <w:tcPr>
            <w:tcW w:w="900" w:type="dxa"/>
          </w:tcPr>
          <w:p w14:paraId="28EF9703" w14:textId="77777777" w:rsidR="007007A2" w:rsidRDefault="007007A2" w:rsidP="007007A2">
            <w:pPr>
              <w:pStyle w:val="Newparagraph"/>
              <w:spacing w:line="240" w:lineRule="auto"/>
              <w:ind w:firstLine="0"/>
              <w:jc w:val="right"/>
              <w:rPr>
                <w:lang w:val="en-US"/>
              </w:rPr>
            </w:pPr>
            <w:r>
              <w:rPr>
                <w:lang w:val="en-US"/>
              </w:rPr>
              <w:t>5</w:t>
            </w:r>
          </w:p>
        </w:tc>
        <w:tc>
          <w:tcPr>
            <w:tcW w:w="1530" w:type="dxa"/>
            <w:tcBorders>
              <w:top w:val="single" w:sz="4" w:space="0" w:color="auto"/>
              <w:left w:val="nil"/>
              <w:bottom w:val="single" w:sz="4" w:space="0" w:color="auto"/>
              <w:right w:val="single" w:sz="4" w:space="0" w:color="auto"/>
            </w:tcBorders>
            <w:shd w:val="clear" w:color="auto" w:fill="auto"/>
            <w:vAlign w:val="bottom"/>
          </w:tcPr>
          <w:p w14:paraId="78CCA389" w14:textId="573B04E1" w:rsidR="007007A2" w:rsidRDefault="007007A2" w:rsidP="007007A2">
            <w:pPr>
              <w:pStyle w:val="Newparagraph"/>
              <w:spacing w:line="240" w:lineRule="auto"/>
              <w:ind w:firstLine="0"/>
              <w:jc w:val="right"/>
              <w:rPr>
                <w:lang w:val="en-US"/>
              </w:rPr>
            </w:pPr>
            <w:r>
              <w:rPr>
                <w:rFonts w:ascii="Calibri" w:hAnsi="Calibri" w:cs="Calibri"/>
                <w:color w:val="000000"/>
                <w:sz w:val="22"/>
                <w:szCs w:val="22"/>
              </w:rPr>
              <w:t>60%</w:t>
            </w:r>
          </w:p>
        </w:tc>
      </w:tr>
      <w:tr w:rsidR="007007A2" w14:paraId="01CE8370" w14:textId="07F6FB6F" w:rsidTr="007B2B88">
        <w:tc>
          <w:tcPr>
            <w:tcW w:w="3505" w:type="dxa"/>
          </w:tcPr>
          <w:p w14:paraId="17057139" w14:textId="77777777" w:rsidR="007007A2" w:rsidRDefault="007007A2" w:rsidP="007007A2">
            <w:pPr>
              <w:pStyle w:val="Newparagraph"/>
              <w:spacing w:line="240" w:lineRule="auto"/>
              <w:ind w:firstLine="0"/>
              <w:rPr>
                <w:lang w:val="en-US"/>
              </w:rPr>
            </w:pPr>
            <w:r>
              <w:rPr>
                <w:lang w:val="en-US"/>
              </w:rPr>
              <w:t>Tornado</w:t>
            </w:r>
          </w:p>
        </w:tc>
        <w:tc>
          <w:tcPr>
            <w:tcW w:w="900" w:type="dxa"/>
          </w:tcPr>
          <w:p w14:paraId="46D55945" w14:textId="77777777" w:rsidR="007007A2" w:rsidRDefault="007007A2" w:rsidP="007007A2">
            <w:pPr>
              <w:pStyle w:val="Newparagraph"/>
              <w:spacing w:line="240" w:lineRule="auto"/>
              <w:ind w:firstLine="0"/>
              <w:jc w:val="right"/>
              <w:rPr>
                <w:lang w:val="en-US"/>
              </w:rPr>
            </w:pPr>
            <w:r>
              <w:rPr>
                <w:lang w:val="en-US"/>
              </w:rPr>
              <w:t>5</w:t>
            </w:r>
          </w:p>
        </w:tc>
        <w:tc>
          <w:tcPr>
            <w:tcW w:w="1530" w:type="dxa"/>
            <w:tcBorders>
              <w:top w:val="single" w:sz="4" w:space="0" w:color="auto"/>
              <w:left w:val="nil"/>
              <w:bottom w:val="single" w:sz="4" w:space="0" w:color="auto"/>
              <w:right w:val="single" w:sz="4" w:space="0" w:color="auto"/>
            </w:tcBorders>
            <w:shd w:val="clear" w:color="auto" w:fill="auto"/>
            <w:vAlign w:val="bottom"/>
          </w:tcPr>
          <w:p w14:paraId="29188A7F" w14:textId="7C803501" w:rsidR="007007A2" w:rsidRDefault="001417C9" w:rsidP="007007A2">
            <w:pPr>
              <w:pStyle w:val="Newparagraph"/>
              <w:spacing w:line="240" w:lineRule="auto"/>
              <w:ind w:firstLine="0"/>
              <w:jc w:val="right"/>
              <w:rPr>
                <w:lang w:val="en-US"/>
              </w:rPr>
            </w:pPr>
            <w:r>
              <w:rPr>
                <w:rFonts w:ascii="Calibri" w:hAnsi="Calibri" w:cs="Calibri"/>
                <w:color w:val="000000"/>
                <w:sz w:val="22"/>
                <w:szCs w:val="22"/>
              </w:rPr>
              <w:t>60</w:t>
            </w:r>
            <w:r w:rsidR="007007A2">
              <w:rPr>
                <w:rFonts w:ascii="Calibri" w:hAnsi="Calibri" w:cs="Calibri"/>
                <w:color w:val="000000"/>
                <w:sz w:val="22"/>
                <w:szCs w:val="22"/>
              </w:rPr>
              <w:t>%</w:t>
            </w:r>
          </w:p>
        </w:tc>
      </w:tr>
      <w:tr w:rsidR="007007A2" w14:paraId="0934D972" w14:textId="5706CB03" w:rsidTr="007B2B88">
        <w:tc>
          <w:tcPr>
            <w:tcW w:w="3505" w:type="dxa"/>
          </w:tcPr>
          <w:p w14:paraId="6A950B38" w14:textId="77777777" w:rsidR="007007A2" w:rsidRDefault="007007A2" w:rsidP="007007A2">
            <w:pPr>
              <w:pStyle w:val="Newparagraph"/>
              <w:spacing w:line="240" w:lineRule="auto"/>
              <w:ind w:firstLine="0"/>
              <w:rPr>
                <w:lang w:val="en-US"/>
              </w:rPr>
            </w:pPr>
            <w:r>
              <w:rPr>
                <w:lang w:val="en-US"/>
              </w:rPr>
              <w:t>Tropical Storm</w:t>
            </w:r>
          </w:p>
        </w:tc>
        <w:tc>
          <w:tcPr>
            <w:tcW w:w="900" w:type="dxa"/>
          </w:tcPr>
          <w:p w14:paraId="72DC51A3" w14:textId="77777777" w:rsidR="007007A2" w:rsidRDefault="007007A2" w:rsidP="007007A2">
            <w:pPr>
              <w:pStyle w:val="Newparagraph"/>
              <w:spacing w:line="240" w:lineRule="auto"/>
              <w:ind w:firstLine="0"/>
              <w:jc w:val="right"/>
              <w:rPr>
                <w:lang w:val="en-US"/>
              </w:rPr>
            </w:pPr>
            <w:r>
              <w:rPr>
                <w:lang w:val="en-US"/>
              </w:rPr>
              <w:t>6</w:t>
            </w:r>
          </w:p>
        </w:tc>
        <w:tc>
          <w:tcPr>
            <w:tcW w:w="1530" w:type="dxa"/>
            <w:tcBorders>
              <w:top w:val="single" w:sz="4" w:space="0" w:color="auto"/>
              <w:left w:val="nil"/>
              <w:bottom w:val="single" w:sz="4" w:space="0" w:color="auto"/>
              <w:right w:val="single" w:sz="4" w:space="0" w:color="auto"/>
            </w:tcBorders>
            <w:shd w:val="clear" w:color="auto" w:fill="auto"/>
            <w:vAlign w:val="bottom"/>
          </w:tcPr>
          <w:p w14:paraId="3AA7251B" w14:textId="2CE8DDDE" w:rsidR="007007A2" w:rsidRPr="00CF1A64" w:rsidRDefault="000A0462" w:rsidP="007007A2">
            <w:pPr>
              <w:pStyle w:val="Newparagraph"/>
              <w:spacing w:line="240" w:lineRule="auto"/>
              <w:ind w:firstLine="0"/>
              <w:jc w:val="right"/>
              <w:rPr>
                <w:lang w:val="en-US"/>
              </w:rPr>
            </w:pPr>
            <w:r w:rsidRPr="00CF1A64">
              <w:rPr>
                <w:rFonts w:ascii="Calibri" w:hAnsi="Calibri" w:cs="Calibri"/>
                <w:color w:val="000000"/>
                <w:sz w:val="22"/>
                <w:szCs w:val="22"/>
              </w:rPr>
              <w:t>10</w:t>
            </w:r>
            <w:r w:rsidR="007007A2" w:rsidRPr="00CF1A64">
              <w:rPr>
                <w:rFonts w:ascii="Calibri" w:hAnsi="Calibri" w:cs="Calibri"/>
                <w:color w:val="000000"/>
                <w:sz w:val="22"/>
                <w:szCs w:val="22"/>
              </w:rPr>
              <w:t>0%</w:t>
            </w:r>
          </w:p>
        </w:tc>
      </w:tr>
      <w:tr w:rsidR="007007A2" w14:paraId="0AB6D8D7" w14:textId="4E15AB61" w:rsidTr="007B2B88">
        <w:tc>
          <w:tcPr>
            <w:tcW w:w="3505" w:type="dxa"/>
          </w:tcPr>
          <w:p w14:paraId="4B86AE60" w14:textId="77777777" w:rsidR="007007A2" w:rsidRDefault="007007A2" w:rsidP="007007A2">
            <w:pPr>
              <w:pStyle w:val="Newparagraph"/>
              <w:spacing w:line="240" w:lineRule="auto"/>
              <w:ind w:firstLine="0"/>
              <w:rPr>
                <w:lang w:val="en-US"/>
              </w:rPr>
            </w:pPr>
            <w:r>
              <w:rPr>
                <w:lang w:val="en-US"/>
              </w:rPr>
              <w:t>Tsunami</w:t>
            </w:r>
          </w:p>
        </w:tc>
        <w:tc>
          <w:tcPr>
            <w:tcW w:w="900" w:type="dxa"/>
          </w:tcPr>
          <w:p w14:paraId="08DC690D" w14:textId="77777777" w:rsidR="007007A2" w:rsidRDefault="007007A2" w:rsidP="007007A2">
            <w:pPr>
              <w:pStyle w:val="Newparagraph"/>
              <w:spacing w:line="240" w:lineRule="auto"/>
              <w:ind w:firstLine="0"/>
              <w:jc w:val="right"/>
              <w:rPr>
                <w:lang w:val="en-US"/>
              </w:rPr>
            </w:pPr>
            <w:r>
              <w:rPr>
                <w:lang w:val="en-US"/>
              </w:rPr>
              <w:t>5</w:t>
            </w:r>
          </w:p>
        </w:tc>
        <w:tc>
          <w:tcPr>
            <w:tcW w:w="1530" w:type="dxa"/>
            <w:tcBorders>
              <w:top w:val="single" w:sz="4" w:space="0" w:color="auto"/>
              <w:left w:val="nil"/>
              <w:bottom w:val="single" w:sz="4" w:space="0" w:color="auto"/>
              <w:right w:val="single" w:sz="4" w:space="0" w:color="auto"/>
            </w:tcBorders>
            <w:shd w:val="clear" w:color="auto" w:fill="auto"/>
            <w:vAlign w:val="bottom"/>
          </w:tcPr>
          <w:p w14:paraId="305C79FD" w14:textId="2F3FEB10" w:rsidR="007007A2" w:rsidRPr="00CF1A64" w:rsidRDefault="00CF1A64" w:rsidP="007007A2">
            <w:pPr>
              <w:pStyle w:val="Newparagraph"/>
              <w:spacing w:line="240" w:lineRule="auto"/>
              <w:ind w:firstLine="0"/>
              <w:jc w:val="right"/>
              <w:rPr>
                <w:lang w:val="en-US"/>
              </w:rPr>
            </w:pPr>
            <w:r w:rsidRPr="00CF1A64">
              <w:rPr>
                <w:rFonts w:ascii="Calibri" w:hAnsi="Calibri" w:cs="Calibri"/>
                <w:color w:val="000000"/>
                <w:sz w:val="22"/>
                <w:szCs w:val="22"/>
              </w:rPr>
              <w:t>4</w:t>
            </w:r>
            <w:r w:rsidR="007007A2" w:rsidRPr="00CF1A64">
              <w:rPr>
                <w:rFonts w:ascii="Calibri" w:hAnsi="Calibri" w:cs="Calibri"/>
                <w:color w:val="000000"/>
                <w:sz w:val="22"/>
                <w:szCs w:val="22"/>
              </w:rPr>
              <w:t>0%</w:t>
            </w:r>
          </w:p>
        </w:tc>
      </w:tr>
      <w:tr w:rsidR="007007A2" w14:paraId="11C91081" w14:textId="4FE59017" w:rsidTr="007B2B88">
        <w:tc>
          <w:tcPr>
            <w:tcW w:w="3505" w:type="dxa"/>
          </w:tcPr>
          <w:p w14:paraId="23A95DAA" w14:textId="77777777" w:rsidR="007007A2" w:rsidRDefault="007007A2" w:rsidP="007007A2">
            <w:pPr>
              <w:pStyle w:val="Newparagraph"/>
              <w:spacing w:line="240" w:lineRule="auto"/>
              <w:ind w:firstLine="0"/>
              <w:rPr>
                <w:lang w:val="en-US"/>
              </w:rPr>
            </w:pPr>
            <w:r>
              <w:rPr>
                <w:lang w:val="en-US"/>
              </w:rPr>
              <w:t>Winter Storm</w:t>
            </w:r>
          </w:p>
        </w:tc>
        <w:tc>
          <w:tcPr>
            <w:tcW w:w="900" w:type="dxa"/>
          </w:tcPr>
          <w:p w14:paraId="337B0705" w14:textId="77777777" w:rsidR="007007A2" w:rsidRDefault="007007A2" w:rsidP="007007A2">
            <w:pPr>
              <w:pStyle w:val="Newparagraph"/>
              <w:spacing w:line="240" w:lineRule="auto"/>
              <w:ind w:firstLine="0"/>
              <w:jc w:val="right"/>
              <w:rPr>
                <w:lang w:val="en-US"/>
              </w:rPr>
            </w:pPr>
            <w:r>
              <w:rPr>
                <w:lang w:val="en-US"/>
              </w:rPr>
              <w:t>4</w:t>
            </w:r>
          </w:p>
        </w:tc>
        <w:tc>
          <w:tcPr>
            <w:tcW w:w="1530" w:type="dxa"/>
            <w:tcBorders>
              <w:top w:val="single" w:sz="4" w:space="0" w:color="auto"/>
              <w:left w:val="nil"/>
              <w:bottom w:val="single" w:sz="4" w:space="0" w:color="auto"/>
              <w:right w:val="single" w:sz="4" w:space="0" w:color="auto"/>
            </w:tcBorders>
            <w:shd w:val="clear" w:color="auto" w:fill="auto"/>
            <w:vAlign w:val="bottom"/>
          </w:tcPr>
          <w:p w14:paraId="34D5B12D" w14:textId="51734171" w:rsidR="007007A2" w:rsidRDefault="00CF1A64" w:rsidP="007007A2">
            <w:pPr>
              <w:pStyle w:val="Newparagraph"/>
              <w:spacing w:line="240" w:lineRule="auto"/>
              <w:ind w:firstLine="0"/>
              <w:jc w:val="right"/>
              <w:rPr>
                <w:lang w:val="en-US"/>
              </w:rPr>
            </w:pPr>
            <w:r>
              <w:rPr>
                <w:rFonts w:ascii="Calibri" w:hAnsi="Calibri" w:cs="Calibri"/>
                <w:color w:val="000000"/>
                <w:sz w:val="22"/>
                <w:szCs w:val="22"/>
              </w:rPr>
              <w:t>5</w:t>
            </w:r>
            <w:r w:rsidR="007007A2">
              <w:rPr>
                <w:rFonts w:ascii="Calibri" w:hAnsi="Calibri" w:cs="Calibri"/>
                <w:color w:val="000000"/>
                <w:sz w:val="22"/>
                <w:szCs w:val="22"/>
              </w:rPr>
              <w:t>0%</w:t>
            </w:r>
          </w:p>
        </w:tc>
      </w:tr>
      <w:tr w:rsidR="007007A2" w14:paraId="7305EC56" w14:textId="710E1159" w:rsidTr="007B2B88">
        <w:tc>
          <w:tcPr>
            <w:tcW w:w="3505" w:type="dxa"/>
          </w:tcPr>
          <w:p w14:paraId="698AD57D" w14:textId="528B78E4" w:rsidR="007007A2" w:rsidRDefault="007007A2" w:rsidP="007007A2">
            <w:pPr>
              <w:pStyle w:val="Newparagraph"/>
              <w:spacing w:line="240" w:lineRule="auto"/>
              <w:ind w:firstLine="0"/>
              <w:rPr>
                <w:lang w:val="en-US"/>
              </w:rPr>
            </w:pPr>
            <w:r>
              <w:rPr>
                <w:lang w:val="en-US"/>
              </w:rPr>
              <w:t xml:space="preserve">Test </w:t>
            </w:r>
            <w:r w:rsidR="007B2B88">
              <w:rPr>
                <w:lang w:val="en-US"/>
              </w:rPr>
              <w:t>Message (</w:t>
            </w:r>
            <w:r w:rsidR="004B1207">
              <w:rPr>
                <w:lang w:val="en-US"/>
              </w:rPr>
              <w:t>"</w:t>
            </w:r>
            <w:r>
              <w:rPr>
                <w:lang w:val="en-US"/>
              </w:rPr>
              <w:t>This is a test …</w:t>
            </w:r>
            <w:r w:rsidR="004B1207">
              <w:rPr>
                <w:lang w:val="en-US"/>
              </w:rPr>
              <w:t>"</w:t>
            </w:r>
            <w:r>
              <w:rPr>
                <w:lang w:val="en-US"/>
              </w:rPr>
              <w:t>)</w:t>
            </w:r>
          </w:p>
        </w:tc>
        <w:tc>
          <w:tcPr>
            <w:tcW w:w="900" w:type="dxa"/>
          </w:tcPr>
          <w:p w14:paraId="0E2D1832" w14:textId="77777777" w:rsidR="007007A2" w:rsidRDefault="007007A2" w:rsidP="007007A2">
            <w:pPr>
              <w:pStyle w:val="Newparagraph"/>
              <w:spacing w:line="240" w:lineRule="auto"/>
              <w:ind w:firstLine="0"/>
              <w:jc w:val="right"/>
              <w:rPr>
                <w:lang w:val="en-US"/>
              </w:rPr>
            </w:pPr>
            <w:r>
              <w:rPr>
                <w:lang w:val="en-US"/>
              </w:rPr>
              <w:t>4</w:t>
            </w:r>
          </w:p>
        </w:tc>
        <w:tc>
          <w:tcPr>
            <w:tcW w:w="1530" w:type="dxa"/>
            <w:tcBorders>
              <w:top w:val="single" w:sz="4" w:space="0" w:color="auto"/>
              <w:left w:val="nil"/>
              <w:bottom w:val="single" w:sz="4" w:space="0" w:color="auto"/>
              <w:right w:val="single" w:sz="4" w:space="0" w:color="auto"/>
            </w:tcBorders>
            <w:shd w:val="clear" w:color="auto" w:fill="auto"/>
            <w:vAlign w:val="bottom"/>
          </w:tcPr>
          <w:p w14:paraId="43BC80D6" w14:textId="215233EF" w:rsidR="007007A2" w:rsidRDefault="00CF1A64" w:rsidP="007007A2">
            <w:pPr>
              <w:pStyle w:val="Newparagraph"/>
              <w:spacing w:line="240" w:lineRule="auto"/>
              <w:ind w:firstLine="0"/>
              <w:jc w:val="right"/>
              <w:rPr>
                <w:lang w:val="en-US"/>
              </w:rPr>
            </w:pPr>
            <w:r>
              <w:rPr>
                <w:rFonts w:ascii="Calibri" w:hAnsi="Calibri" w:cs="Calibri"/>
                <w:color w:val="000000"/>
                <w:sz w:val="22"/>
                <w:szCs w:val="22"/>
              </w:rPr>
              <w:t>75</w:t>
            </w:r>
            <w:r w:rsidR="007007A2">
              <w:rPr>
                <w:rFonts w:ascii="Calibri" w:hAnsi="Calibri" w:cs="Calibri"/>
                <w:color w:val="000000"/>
                <w:sz w:val="22"/>
                <w:szCs w:val="22"/>
              </w:rPr>
              <w:t>%</w:t>
            </w:r>
          </w:p>
        </w:tc>
      </w:tr>
    </w:tbl>
    <w:p w14:paraId="5277359B" w14:textId="77777777" w:rsidR="00F62C97" w:rsidRDefault="00F62C97" w:rsidP="00F62C97">
      <w:pPr>
        <w:spacing w:after="120" w:line="276" w:lineRule="auto"/>
        <w:jc w:val="both"/>
        <w:rPr>
          <w:rFonts w:asciiTheme="minorHAnsi" w:eastAsiaTheme="minorHAnsi" w:hAnsiTheme="minorHAnsi" w:cstheme="minorBidi"/>
          <w:lang w:val="en-US" w:eastAsia="en-US"/>
        </w:rPr>
      </w:pPr>
    </w:p>
    <w:p w14:paraId="276B7277" w14:textId="0670CC3C" w:rsidR="00F62C97" w:rsidRPr="00374A25" w:rsidRDefault="00F62C97" w:rsidP="0041042E">
      <w:pPr>
        <w:spacing w:after="240" w:line="276" w:lineRule="auto"/>
        <w:jc w:val="both"/>
        <w:rPr>
          <w:rFonts w:asciiTheme="minorHAnsi" w:eastAsiaTheme="minorHAnsi" w:hAnsiTheme="minorHAnsi" w:cstheme="minorBidi"/>
          <w:lang w:val="en-US" w:eastAsia="en-US"/>
        </w:rPr>
      </w:pPr>
      <w:r w:rsidRPr="00374A25">
        <w:rPr>
          <w:rFonts w:asciiTheme="minorHAnsi" w:eastAsiaTheme="minorHAnsi" w:hAnsiTheme="minorHAnsi" w:cstheme="minorBidi"/>
          <w:lang w:val="en-US" w:eastAsia="en-US"/>
        </w:rPr>
        <w:t>For each protective action, participants understood 27% - 57% of each recommended action across all message formats</w:t>
      </w:r>
      <w:r>
        <w:rPr>
          <w:rFonts w:asciiTheme="minorHAnsi" w:eastAsiaTheme="minorHAnsi" w:hAnsiTheme="minorHAnsi" w:cstheme="minorBidi"/>
          <w:lang w:val="en-US" w:eastAsia="en-US"/>
        </w:rPr>
        <w:t xml:space="preserve"> (Table 3)</w:t>
      </w:r>
      <w:r w:rsidRPr="00374A25">
        <w:rPr>
          <w:rFonts w:asciiTheme="minorHAnsi" w:eastAsiaTheme="minorHAnsi" w:hAnsiTheme="minorHAnsi" w:cstheme="minorBidi"/>
          <w:lang w:val="en-US" w:eastAsia="en-US"/>
        </w:rPr>
        <w:t xml:space="preserve">. Almost two-thirds of the participants who viewed a message that contained an </w:t>
      </w:r>
      <w:r w:rsidR="004B1207">
        <w:rPr>
          <w:rFonts w:asciiTheme="minorHAnsi" w:eastAsiaTheme="minorHAnsi" w:hAnsiTheme="minorHAnsi" w:cstheme="minorBidi"/>
          <w:lang w:val="en-US" w:eastAsia="en-US"/>
        </w:rPr>
        <w:t>"</w:t>
      </w:r>
      <w:r w:rsidRPr="00374A25">
        <w:rPr>
          <w:rFonts w:asciiTheme="minorHAnsi" w:eastAsiaTheme="minorHAnsi" w:hAnsiTheme="minorHAnsi" w:cstheme="minorBidi"/>
          <w:lang w:val="en-US" w:eastAsia="en-US"/>
        </w:rPr>
        <w:t>All Clear</w:t>
      </w:r>
      <w:r w:rsidR="004B1207">
        <w:rPr>
          <w:rFonts w:asciiTheme="minorHAnsi" w:eastAsiaTheme="minorHAnsi" w:hAnsiTheme="minorHAnsi" w:cstheme="minorBidi"/>
          <w:lang w:val="en-US" w:eastAsia="en-US"/>
        </w:rPr>
        <w:t>"</w:t>
      </w:r>
      <w:r w:rsidRPr="00374A25">
        <w:rPr>
          <w:rFonts w:asciiTheme="minorHAnsi" w:eastAsiaTheme="minorHAnsi" w:hAnsiTheme="minorHAnsi" w:cstheme="minorBidi"/>
          <w:lang w:val="en-US" w:eastAsia="en-US"/>
        </w:rPr>
        <w:t xml:space="preserve"> indicating that the event was over </w:t>
      </w:r>
      <w:r w:rsidR="001E0E5B">
        <w:rPr>
          <w:rFonts w:asciiTheme="minorHAnsi" w:eastAsiaTheme="minorHAnsi" w:hAnsiTheme="minorHAnsi" w:cstheme="minorBidi"/>
          <w:lang w:val="en-US" w:eastAsia="en-US"/>
        </w:rPr>
        <w:t xml:space="preserve">did not accurately understand the </w:t>
      </w:r>
      <w:r w:rsidR="0041042E">
        <w:rPr>
          <w:rFonts w:asciiTheme="minorHAnsi" w:eastAsiaTheme="minorHAnsi" w:hAnsiTheme="minorHAnsi" w:cstheme="minorBidi"/>
          <w:lang w:val="en-US" w:eastAsia="en-US"/>
        </w:rPr>
        <w:t xml:space="preserve">message. </w:t>
      </w:r>
      <w:r w:rsidRPr="00374A25">
        <w:rPr>
          <w:rFonts w:asciiTheme="minorHAnsi" w:eastAsiaTheme="minorHAnsi" w:hAnsiTheme="minorHAnsi" w:cstheme="minorBidi"/>
          <w:lang w:val="en-US" w:eastAsia="en-US"/>
        </w:rPr>
        <w:t xml:space="preserve">Chi-squared distribution analysis did not show statistical differences in understanding based on the protective action.  </w:t>
      </w:r>
    </w:p>
    <w:p w14:paraId="22D35024" w14:textId="34E9A0BE" w:rsidR="00CC251B" w:rsidRPr="006249CC" w:rsidRDefault="00CC251B" w:rsidP="006249CC">
      <w:pPr>
        <w:pStyle w:val="Tabletitle"/>
        <w:spacing w:before="120" w:line="252" w:lineRule="auto"/>
        <w:rPr>
          <w:b/>
          <w:bCs/>
          <w:lang w:val="en-US"/>
        </w:rPr>
      </w:pPr>
      <w:r w:rsidRPr="006249CC">
        <w:rPr>
          <w:b/>
          <w:bCs/>
          <w:lang w:val="en-US"/>
        </w:rPr>
        <w:t xml:space="preserve">Table 3:  </w:t>
      </w:r>
      <w:r w:rsidR="00C83480" w:rsidRPr="006249CC">
        <w:rPr>
          <w:b/>
          <w:bCs/>
          <w:lang w:val="en-US"/>
        </w:rPr>
        <w:t>The type of protective action recommended with the percentage of times the p</w:t>
      </w:r>
      <w:r w:rsidR="00336318">
        <w:rPr>
          <w:b/>
          <w:bCs/>
          <w:lang w:val="en-US"/>
        </w:rPr>
        <w:t>articipant understood the protective action</w:t>
      </w:r>
      <w:r w:rsidR="00C83480" w:rsidRPr="006249CC">
        <w:rPr>
          <w:b/>
          <w:bCs/>
          <w:lang w:val="en-US"/>
        </w:rPr>
        <w:t xml:space="preserve">.  </w:t>
      </w:r>
    </w:p>
    <w:tbl>
      <w:tblPr>
        <w:tblStyle w:val="TableGrid"/>
        <w:tblW w:w="0" w:type="auto"/>
        <w:tblLook w:val="04A0" w:firstRow="1" w:lastRow="0" w:firstColumn="1" w:lastColumn="0" w:noHBand="0" w:noVBand="1"/>
      </w:tblPr>
      <w:tblGrid>
        <w:gridCol w:w="2245"/>
        <w:gridCol w:w="857"/>
        <w:gridCol w:w="2833"/>
      </w:tblGrid>
      <w:tr w:rsidR="006F3A63" w:rsidRPr="007007A2" w14:paraId="508E513F" w14:textId="77777777" w:rsidTr="00F76635">
        <w:trPr>
          <w:trHeight w:val="300"/>
        </w:trPr>
        <w:tc>
          <w:tcPr>
            <w:tcW w:w="2245" w:type="dxa"/>
            <w:noWrap/>
          </w:tcPr>
          <w:p w14:paraId="5038B1EB" w14:textId="46AB9665" w:rsidR="006F3A63" w:rsidRPr="006F3A63" w:rsidRDefault="006F3A63" w:rsidP="006F3A63">
            <w:pPr>
              <w:spacing w:line="240" w:lineRule="auto"/>
              <w:rPr>
                <w:b/>
                <w:bCs/>
              </w:rPr>
            </w:pPr>
            <w:r w:rsidRPr="006F3A63">
              <w:rPr>
                <w:b/>
                <w:bCs/>
              </w:rPr>
              <w:t xml:space="preserve">Protective Action </w:t>
            </w:r>
          </w:p>
        </w:tc>
        <w:tc>
          <w:tcPr>
            <w:tcW w:w="857" w:type="dxa"/>
            <w:noWrap/>
          </w:tcPr>
          <w:p w14:paraId="155E4749" w14:textId="1ED7327B" w:rsidR="006F3A63" w:rsidRPr="006F3A63" w:rsidRDefault="006F3A63" w:rsidP="006F3A63">
            <w:pPr>
              <w:spacing w:line="240" w:lineRule="auto"/>
              <w:rPr>
                <w:b/>
                <w:bCs/>
              </w:rPr>
            </w:pPr>
            <w:r w:rsidRPr="006F3A63">
              <w:rPr>
                <w:b/>
                <w:bCs/>
              </w:rPr>
              <w:t>Count</w:t>
            </w:r>
          </w:p>
        </w:tc>
        <w:tc>
          <w:tcPr>
            <w:tcW w:w="2833" w:type="dxa"/>
            <w:noWrap/>
          </w:tcPr>
          <w:p w14:paraId="5CE17690" w14:textId="53E1A7B4" w:rsidR="006F3A63" w:rsidRPr="006F3A63" w:rsidRDefault="006F3A63" w:rsidP="006F3A63">
            <w:pPr>
              <w:spacing w:line="240" w:lineRule="auto"/>
              <w:rPr>
                <w:b/>
                <w:bCs/>
              </w:rPr>
            </w:pPr>
            <w:r w:rsidRPr="006F3A63">
              <w:rPr>
                <w:b/>
                <w:bCs/>
              </w:rPr>
              <w:t xml:space="preserve">% </w:t>
            </w:r>
            <w:proofErr w:type="gramStart"/>
            <w:r w:rsidRPr="006F3A63">
              <w:rPr>
                <w:b/>
                <w:bCs/>
              </w:rPr>
              <w:t>of</w:t>
            </w:r>
            <w:proofErr w:type="gramEnd"/>
            <w:r w:rsidRPr="006F3A63">
              <w:rPr>
                <w:b/>
                <w:bCs/>
              </w:rPr>
              <w:t xml:space="preserve"> Understood Messages </w:t>
            </w:r>
          </w:p>
        </w:tc>
      </w:tr>
      <w:tr w:rsidR="006F3A63" w:rsidRPr="007007A2" w14:paraId="7FC539D9" w14:textId="77777777" w:rsidTr="00F76635">
        <w:trPr>
          <w:trHeight w:val="300"/>
        </w:trPr>
        <w:tc>
          <w:tcPr>
            <w:tcW w:w="2245" w:type="dxa"/>
            <w:noWrap/>
            <w:hideMark/>
          </w:tcPr>
          <w:p w14:paraId="6D0170B9" w14:textId="77777777" w:rsidR="006F3A63" w:rsidRPr="007007A2" w:rsidRDefault="006F3A63" w:rsidP="00CC0BF2">
            <w:pPr>
              <w:spacing w:line="240" w:lineRule="auto"/>
            </w:pPr>
            <w:r w:rsidRPr="007007A2">
              <w:t>All Clear</w:t>
            </w:r>
          </w:p>
        </w:tc>
        <w:tc>
          <w:tcPr>
            <w:tcW w:w="857" w:type="dxa"/>
            <w:noWrap/>
            <w:hideMark/>
          </w:tcPr>
          <w:p w14:paraId="0D2A8B63" w14:textId="77777777" w:rsidR="006F3A63" w:rsidRPr="007007A2" w:rsidRDefault="006F3A63" w:rsidP="00CC0BF2">
            <w:pPr>
              <w:spacing w:line="240" w:lineRule="auto"/>
              <w:jc w:val="right"/>
            </w:pPr>
            <w:r w:rsidRPr="007007A2">
              <w:t>15</w:t>
            </w:r>
          </w:p>
        </w:tc>
        <w:tc>
          <w:tcPr>
            <w:tcW w:w="2833" w:type="dxa"/>
            <w:noWrap/>
            <w:hideMark/>
          </w:tcPr>
          <w:p w14:paraId="3432110F" w14:textId="77777777" w:rsidR="006F3A63" w:rsidRPr="007007A2" w:rsidRDefault="006F3A63" w:rsidP="00CC0BF2">
            <w:pPr>
              <w:spacing w:line="240" w:lineRule="auto"/>
              <w:jc w:val="right"/>
            </w:pPr>
            <w:r w:rsidRPr="007007A2">
              <w:t>27%</w:t>
            </w:r>
          </w:p>
        </w:tc>
      </w:tr>
      <w:tr w:rsidR="006F3A63" w:rsidRPr="007007A2" w14:paraId="1C306BD6" w14:textId="77777777" w:rsidTr="00F76635">
        <w:trPr>
          <w:trHeight w:val="300"/>
        </w:trPr>
        <w:tc>
          <w:tcPr>
            <w:tcW w:w="2245" w:type="dxa"/>
            <w:noWrap/>
            <w:hideMark/>
          </w:tcPr>
          <w:p w14:paraId="4C492C06" w14:textId="77777777" w:rsidR="006F3A63" w:rsidRPr="007007A2" w:rsidRDefault="006F3A63" w:rsidP="00CC0BF2">
            <w:pPr>
              <w:spacing w:line="240" w:lineRule="auto"/>
            </w:pPr>
            <w:r w:rsidRPr="007007A2">
              <w:t>Avoid Hazard</w:t>
            </w:r>
          </w:p>
        </w:tc>
        <w:tc>
          <w:tcPr>
            <w:tcW w:w="857" w:type="dxa"/>
            <w:noWrap/>
            <w:hideMark/>
          </w:tcPr>
          <w:p w14:paraId="619ECFDB" w14:textId="77777777" w:rsidR="006F3A63" w:rsidRPr="007007A2" w:rsidRDefault="006F3A63" w:rsidP="00CC0BF2">
            <w:pPr>
              <w:spacing w:line="240" w:lineRule="auto"/>
              <w:jc w:val="right"/>
            </w:pPr>
            <w:r w:rsidRPr="007007A2">
              <w:t>9</w:t>
            </w:r>
          </w:p>
        </w:tc>
        <w:tc>
          <w:tcPr>
            <w:tcW w:w="2833" w:type="dxa"/>
            <w:noWrap/>
            <w:hideMark/>
          </w:tcPr>
          <w:p w14:paraId="2498FD0C" w14:textId="77777777" w:rsidR="006F3A63" w:rsidRPr="007007A2" w:rsidRDefault="006F3A63" w:rsidP="00CC0BF2">
            <w:pPr>
              <w:spacing w:line="240" w:lineRule="auto"/>
              <w:jc w:val="right"/>
            </w:pPr>
            <w:r w:rsidRPr="007007A2">
              <w:t>56%</w:t>
            </w:r>
          </w:p>
        </w:tc>
      </w:tr>
      <w:tr w:rsidR="006F3A63" w:rsidRPr="007007A2" w14:paraId="7C272B52" w14:textId="77777777" w:rsidTr="00F76635">
        <w:trPr>
          <w:trHeight w:val="300"/>
        </w:trPr>
        <w:tc>
          <w:tcPr>
            <w:tcW w:w="2245" w:type="dxa"/>
            <w:noWrap/>
            <w:hideMark/>
          </w:tcPr>
          <w:p w14:paraId="08A5A63F" w14:textId="77777777" w:rsidR="006F3A63" w:rsidRPr="007007A2" w:rsidRDefault="006F3A63" w:rsidP="00CC0BF2">
            <w:pPr>
              <w:spacing w:line="240" w:lineRule="auto"/>
            </w:pPr>
            <w:r w:rsidRPr="007007A2">
              <w:t>Evacuate Now</w:t>
            </w:r>
          </w:p>
        </w:tc>
        <w:tc>
          <w:tcPr>
            <w:tcW w:w="857" w:type="dxa"/>
            <w:noWrap/>
            <w:hideMark/>
          </w:tcPr>
          <w:p w14:paraId="3CE9A62B" w14:textId="77777777" w:rsidR="006F3A63" w:rsidRPr="007007A2" w:rsidRDefault="006F3A63" w:rsidP="00CC0BF2">
            <w:pPr>
              <w:spacing w:line="240" w:lineRule="auto"/>
              <w:jc w:val="right"/>
            </w:pPr>
            <w:r w:rsidRPr="007007A2">
              <w:t>10</w:t>
            </w:r>
          </w:p>
        </w:tc>
        <w:tc>
          <w:tcPr>
            <w:tcW w:w="2833" w:type="dxa"/>
            <w:noWrap/>
            <w:hideMark/>
          </w:tcPr>
          <w:p w14:paraId="6A989F61" w14:textId="77777777" w:rsidR="006F3A63" w:rsidRPr="007007A2" w:rsidRDefault="006F3A63" w:rsidP="00CC0BF2">
            <w:pPr>
              <w:spacing w:line="240" w:lineRule="auto"/>
              <w:jc w:val="right"/>
            </w:pPr>
            <w:r w:rsidRPr="007007A2">
              <w:t>40%</w:t>
            </w:r>
          </w:p>
        </w:tc>
      </w:tr>
      <w:tr w:rsidR="006F3A63" w:rsidRPr="007007A2" w14:paraId="7AA68B02" w14:textId="77777777" w:rsidTr="00F76635">
        <w:trPr>
          <w:trHeight w:val="300"/>
        </w:trPr>
        <w:tc>
          <w:tcPr>
            <w:tcW w:w="2245" w:type="dxa"/>
            <w:noWrap/>
            <w:hideMark/>
          </w:tcPr>
          <w:p w14:paraId="05B5D5E3" w14:textId="77777777" w:rsidR="006F3A63" w:rsidRPr="007007A2" w:rsidRDefault="006F3A63" w:rsidP="00CC0BF2">
            <w:pPr>
              <w:spacing w:line="240" w:lineRule="auto"/>
            </w:pPr>
            <w:r w:rsidRPr="007007A2">
              <w:t>Evacuate to Shelter</w:t>
            </w:r>
          </w:p>
        </w:tc>
        <w:tc>
          <w:tcPr>
            <w:tcW w:w="857" w:type="dxa"/>
            <w:noWrap/>
            <w:hideMark/>
          </w:tcPr>
          <w:p w14:paraId="391754DB" w14:textId="77777777" w:rsidR="006F3A63" w:rsidRPr="007007A2" w:rsidRDefault="006F3A63" w:rsidP="00CC0BF2">
            <w:pPr>
              <w:spacing w:line="240" w:lineRule="auto"/>
              <w:jc w:val="right"/>
            </w:pPr>
            <w:r w:rsidRPr="007007A2">
              <w:t>11</w:t>
            </w:r>
          </w:p>
        </w:tc>
        <w:tc>
          <w:tcPr>
            <w:tcW w:w="2833" w:type="dxa"/>
            <w:noWrap/>
            <w:hideMark/>
          </w:tcPr>
          <w:p w14:paraId="4F1F30F8" w14:textId="77777777" w:rsidR="006F3A63" w:rsidRPr="007007A2" w:rsidRDefault="006F3A63" w:rsidP="00CC0BF2">
            <w:pPr>
              <w:spacing w:line="240" w:lineRule="auto"/>
              <w:jc w:val="right"/>
            </w:pPr>
            <w:r w:rsidRPr="007007A2">
              <w:t>36%</w:t>
            </w:r>
          </w:p>
        </w:tc>
      </w:tr>
      <w:tr w:rsidR="006F3A63" w:rsidRPr="007007A2" w14:paraId="35AD48D8" w14:textId="77777777" w:rsidTr="00F76635">
        <w:trPr>
          <w:trHeight w:val="300"/>
        </w:trPr>
        <w:tc>
          <w:tcPr>
            <w:tcW w:w="2245" w:type="dxa"/>
            <w:noWrap/>
            <w:hideMark/>
          </w:tcPr>
          <w:p w14:paraId="622FC1A9" w14:textId="77777777" w:rsidR="006F3A63" w:rsidRPr="007007A2" w:rsidRDefault="006F3A63" w:rsidP="00CC0BF2">
            <w:pPr>
              <w:spacing w:line="240" w:lineRule="auto"/>
            </w:pPr>
            <w:r w:rsidRPr="007007A2">
              <w:t>Monitor Radio</w:t>
            </w:r>
          </w:p>
        </w:tc>
        <w:tc>
          <w:tcPr>
            <w:tcW w:w="857" w:type="dxa"/>
            <w:noWrap/>
            <w:hideMark/>
          </w:tcPr>
          <w:p w14:paraId="6E4E0F40" w14:textId="77777777" w:rsidR="006F3A63" w:rsidRPr="007007A2" w:rsidRDefault="006F3A63" w:rsidP="00CC0BF2">
            <w:pPr>
              <w:spacing w:line="240" w:lineRule="auto"/>
              <w:jc w:val="right"/>
            </w:pPr>
            <w:r w:rsidRPr="007007A2">
              <w:t>12</w:t>
            </w:r>
          </w:p>
        </w:tc>
        <w:tc>
          <w:tcPr>
            <w:tcW w:w="2833" w:type="dxa"/>
            <w:noWrap/>
            <w:hideMark/>
          </w:tcPr>
          <w:p w14:paraId="43ABECEE" w14:textId="77777777" w:rsidR="006F3A63" w:rsidRPr="007007A2" w:rsidRDefault="006F3A63" w:rsidP="00CC0BF2">
            <w:pPr>
              <w:spacing w:line="240" w:lineRule="auto"/>
              <w:jc w:val="right"/>
            </w:pPr>
            <w:r w:rsidRPr="007007A2">
              <w:t>33%</w:t>
            </w:r>
          </w:p>
        </w:tc>
      </w:tr>
      <w:tr w:rsidR="006F3A63" w:rsidRPr="007007A2" w14:paraId="1DC84528" w14:textId="77777777" w:rsidTr="00F76635">
        <w:trPr>
          <w:trHeight w:val="300"/>
        </w:trPr>
        <w:tc>
          <w:tcPr>
            <w:tcW w:w="2245" w:type="dxa"/>
            <w:noWrap/>
            <w:hideMark/>
          </w:tcPr>
          <w:p w14:paraId="53D04CE7" w14:textId="77777777" w:rsidR="006F3A63" w:rsidRPr="007007A2" w:rsidRDefault="006F3A63" w:rsidP="00CC0BF2">
            <w:pPr>
              <w:spacing w:line="240" w:lineRule="auto"/>
            </w:pPr>
            <w:r w:rsidRPr="007007A2">
              <w:t>Monitor TV</w:t>
            </w:r>
          </w:p>
        </w:tc>
        <w:tc>
          <w:tcPr>
            <w:tcW w:w="857" w:type="dxa"/>
            <w:noWrap/>
            <w:hideMark/>
          </w:tcPr>
          <w:p w14:paraId="0364B0C8" w14:textId="77777777" w:rsidR="006F3A63" w:rsidRPr="007007A2" w:rsidRDefault="006F3A63" w:rsidP="00CC0BF2">
            <w:pPr>
              <w:spacing w:line="240" w:lineRule="auto"/>
              <w:jc w:val="right"/>
            </w:pPr>
            <w:r w:rsidRPr="007007A2">
              <w:t>7</w:t>
            </w:r>
          </w:p>
        </w:tc>
        <w:tc>
          <w:tcPr>
            <w:tcW w:w="2833" w:type="dxa"/>
            <w:noWrap/>
            <w:hideMark/>
          </w:tcPr>
          <w:p w14:paraId="48DE935D" w14:textId="77777777" w:rsidR="006F3A63" w:rsidRPr="007007A2" w:rsidRDefault="006F3A63" w:rsidP="00CC0BF2">
            <w:pPr>
              <w:spacing w:line="240" w:lineRule="auto"/>
              <w:jc w:val="right"/>
            </w:pPr>
            <w:r w:rsidRPr="007007A2">
              <w:t>57%</w:t>
            </w:r>
          </w:p>
        </w:tc>
      </w:tr>
      <w:tr w:rsidR="006F3A63" w:rsidRPr="007007A2" w14:paraId="17C725EC" w14:textId="77777777" w:rsidTr="00F76635">
        <w:trPr>
          <w:trHeight w:val="300"/>
        </w:trPr>
        <w:tc>
          <w:tcPr>
            <w:tcW w:w="2245" w:type="dxa"/>
            <w:noWrap/>
            <w:hideMark/>
          </w:tcPr>
          <w:p w14:paraId="2711D85D" w14:textId="77777777" w:rsidR="006F3A63" w:rsidRPr="007007A2" w:rsidRDefault="006F3A63" w:rsidP="00CC0BF2">
            <w:pPr>
              <w:spacing w:line="240" w:lineRule="auto"/>
            </w:pPr>
            <w:r w:rsidRPr="007007A2">
              <w:t>Take Shelter</w:t>
            </w:r>
          </w:p>
        </w:tc>
        <w:tc>
          <w:tcPr>
            <w:tcW w:w="857" w:type="dxa"/>
            <w:noWrap/>
            <w:hideMark/>
          </w:tcPr>
          <w:p w14:paraId="787AE493" w14:textId="77777777" w:rsidR="006F3A63" w:rsidRPr="007007A2" w:rsidRDefault="006F3A63" w:rsidP="00CC0BF2">
            <w:pPr>
              <w:spacing w:line="240" w:lineRule="auto"/>
              <w:jc w:val="right"/>
            </w:pPr>
            <w:r w:rsidRPr="007007A2">
              <w:t>16</w:t>
            </w:r>
          </w:p>
        </w:tc>
        <w:tc>
          <w:tcPr>
            <w:tcW w:w="2833" w:type="dxa"/>
            <w:noWrap/>
            <w:hideMark/>
          </w:tcPr>
          <w:p w14:paraId="1D9FD550" w14:textId="77777777" w:rsidR="006F3A63" w:rsidRPr="007007A2" w:rsidRDefault="006F3A63" w:rsidP="00CC0BF2">
            <w:pPr>
              <w:spacing w:line="240" w:lineRule="auto"/>
              <w:jc w:val="right"/>
            </w:pPr>
            <w:r w:rsidRPr="007007A2">
              <w:t>50%</w:t>
            </w:r>
          </w:p>
        </w:tc>
      </w:tr>
    </w:tbl>
    <w:p w14:paraId="6871ADBD" w14:textId="38327A1E" w:rsidR="008B2EDE" w:rsidRPr="0041042E" w:rsidRDefault="008B2EDE" w:rsidP="0041042E">
      <w:pPr>
        <w:pStyle w:val="Heading1"/>
        <w:keepLines/>
        <w:spacing w:before="240" w:after="0" w:line="240" w:lineRule="auto"/>
        <w:ind w:right="0"/>
        <w:contextualSpacing w:val="0"/>
        <w:rPr>
          <w:rFonts w:asciiTheme="minorHAnsi" w:eastAsiaTheme="majorEastAsia" w:hAnsiTheme="minorHAnsi" w:cstheme="minorHAnsi"/>
          <w:bCs w:val="0"/>
          <w:kern w:val="0"/>
          <w:sz w:val="28"/>
          <w:szCs w:val="24"/>
          <w:lang w:val="en-US" w:eastAsia="en-US"/>
        </w:rPr>
      </w:pPr>
      <w:r w:rsidRPr="0041042E">
        <w:rPr>
          <w:rFonts w:asciiTheme="minorHAnsi" w:eastAsiaTheme="majorEastAsia" w:hAnsiTheme="minorHAnsi" w:cstheme="minorHAnsi"/>
          <w:bCs w:val="0"/>
          <w:kern w:val="0"/>
          <w:sz w:val="28"/>
          <w:szCs w:val="24"/>
          <w:lang w:val="en-US" w:eastAsia="en-US"/>
        </w:rPr>
        <w:t>Discussion</w:t>
      </w:r>
      <w:r w:rsidR="00F97C9E" w:rsidRPr="0041042E">
        <w:rPr>
          <w:rFonts w:asciiTheme="minorHAnsi" w:eastAsiaTheme="majorEastAsia" w:hAnsiTheme="minorHAnsi" w:cstheme="minorHAnsi"/>
          <w:bCs w:val="0"/>
          <w:kern w:val="0"/>
          <w:sz w:val="28"/>
          <w:szCs w:val="24"/>
          <w:lang w:val="en-US" w:eastAsia="en-US"/>
        </w:rPr>
        <w:t>, Recommendations, and Future Work</w:t>
      </w:r>
    </w:p>
    <w:p w14:paraId="33752F2F" w14:textId="082A5150" w:rsidR="00116171" w:rsidRPr="00E4213A" w:rsidRDefault="009261A8" w:rsidP="00E4213A">
      <w:pPr>
        <w:spacing w:after="120" w:line="276" w:lineRule="auto"/>
        <w:jc w:val="both"/>
        <w:rPr>
          <w:rFonts w:asciiTheme="minorHAnsi" w:eastAsiaTheme="minorHAnsi" w:hAnsiTheme="minorHAnsi" w:cstheme="minorBidi"/>
          <w:b/>
          <w:bCs/>
          <w:lang w:val="en-US" w:eastAsia="en-US"/>
        </w:rPr>
      </w:pPr>
      <w:r w:rsidRPr="00E4213A">
        <w:rPr>
          <w:rFonts w:asciiTheme="minorHAnsi" w:eastAsiaTheme="minorHAnsi" w:hAnsiTheme="minorHAnsi" w:cstheme="minorBidi"/>
          <w:lang w:val="en-US" w:eastAsia="en-US"/>
        </w:rPr>
        <w:t xml:space="preserve">Participants </w:t>
      </w:r>
      <w:r w:rsidR="0014593D" w:rsidRPr="00E4213A">
        <w:rPr>
          <w:rFonts w:asciiTheme="minorHAnsi" w:eastAsiaTheme="minorHAnsi" w:hAnsiTheme="minorHAnsi" w:cstheme="minorBidi"/>
          <w:lang w:val="en-US" w:eastAsia="en-US"/>
        </w:rPr>
        <w:t xml:space="preserve">generally understood messages that contained events they commonly experienced, regardless of the message format. For example, </w:t>
      </w:r>
      <w:r w:rsidR="00ED0630" w:rsidRPr="00E4213A">
        <w:rPr>
          <w:rFonts w:asciiTheme="minorHAnsi" w:eastAsiaTheme="minorHAnsi" w:hAnsiTheme="minorHAnsi" w:cstheme="minorBidi"/>
          <w:lang w:val="en-US" w:eastAsia="en-US"/>
        </w:rPr>
        <w:t xml:space="preserve">since people in </w:t>
      </w:r>
      <w:r w:rsidR="0014593D" w:rsidRPr="00E4213A">
        <w:rPr>
          <w:rFonts w:asciiTheme="minorHAnsi" w:eastAsiaTheme="minorHAnsi" w:hAnsiTheme="minorHAnsi" w:cstheme="minorBidi"/>
          <w:lang w:val="en-US" w:eastAsia="en-US"/>
        </w:rPr>
        <w:t>the San Antonio Metropolitan area commonly experience hurricane and tropical storm events</w:t>
      </w:r>
      <w:r w:rsidR="00ED0630" w:rsidRPr="00E4213A">
        <w:rPr>
          <w:rFonts w:asciiTheme="minorHAnsi" w:eastAsiaTheme="minorHAnsi" w:hAnsiTheme="minorHAnsi" w:cstheme="minorBidi"/>
          <w:lang w:val="en-US" w:eastAsia="en-US"/>
        </w:rPr>
        <w:t>, the words and symbology used to describe these events were more familiar to our participants than those for other activities that were not common to their area</w:t>
      </w:r>
      <w:r w:rsidR="00695C8C">
        <w:rPr>
          <w:rFonts w:asciiTheme="minorHAnsi" w:eastAsiaTheme="minorHAnsi" w:hAnsiTheme="minorHAnsi" w:cstheme="minorBidi"/>
          <w:lang w:val="en-US" w:eastAsia="en-US"/>
        </w:rPr>
        <w:t>. P</w:t>
      </w:r>
      <w:r w:rsidR="00ED0630" w:rsidRPr="00E4213A">
        <w:rPr>
          <w:rFonts w:asciiTheme="minorHAnsi" w:eastAsiaTheme="minorHAnsi" w:hAnsiTheme="minorHAnsi" w:cstheme="minorBidi"/>
          <w:lang w:val="en-US" w:eastAsia="en-US"/>
        </w:rPr>
        <w:t xml:space="preserve">articularly </w:t>
      </w:r>
      <w:r w:rsidR="004B1207">
        <w:rPr>
          <w:rFonts w:asciiTheme="minorHAnsi" w:eastAsiaTheme="minorHAnsi" w:hAnsiTheme="minorHAnsi" w:cstheme="minorBidi"/>
          <w:lang w:val="en-US" w:eastAsia="en-US"/>
        </w:rPr>
        <w:t>"</w:t>
      </w:r>
      <w:r w:rsidR="00ED0630" w:rsidRPr="00E4213A">
        <w:rPr>
          <w:rFonts w:asciiTheme="minorHAnsi" w:eastAsiaTheme="minorHAnsi" w:hAnsiTheme="minorHAnsi" w:cstheme="minorBidi"/>
          <w:lang w:val="en-US" w:eastAsia="en-US"/>
        </w:rPr>
        <w:t>Winter Storm Warning.</w:t>
      </w:r>
      <w:r w:rsidR="004B1207">
        <w:rPr>
          <w:rFonts w:asciiTheme="minorHAnsi" w:eastAsiaTheme="minorHAnsi" w:hAnsiTheme="minorHAnsi" w:cstheme="minorBidi"/>
          <w:lang w:val="en-US" w:eastAsia="en-US"/>
        </w:rPr>
        <w:t>"</w:t>
      </w:r>
      <w:r w:rsidR="00ED0630" w:rsidRPr="00E4213A">
        <w:rPr>
          <w:rFonts w:asciiTheme="minorHAnsi" w:eastAsiaTheme="minorHAnsi" w:hAnsiTheme="minorHAnsi" w:cstheme="minorBidi"/>
          <w:lang w:val="en-US" w:eastAsia="en-US"/>
        </w:rPr>
        <w:t xml:space="preserve"> This should carry forward </w:t>
      </w:r>
      <w:r w:rsidR="00695C8C">
        <w:rPr>
          <w:rFonts w:asciiTheme="minorHAnsi" w:eastAsiaTheme="minorHAnsi" w:hAnsiTheme="minorHAnsi" w:cstheme="minorBidi"/>
          <w:lang w:val="en-US" w:eastAsia="en-US"/>
        </w:rPr>
        <w:t>to</w:t>
      </w:r>
      <w:r w:rsidR="00ED0630" w:rsidRPr="00E4213A">
        <w:rPr>
          <w:rFonts w:asciiTheme="minorHAnsi" w:eastAsiaTheme="minorHAnsi" w:hAnsiTheme="minorHAnsi" w:cstheme="minorBidi"/>
          <w:lang w:val="en-US" w:eastAsia="en-US"/>
        </w:rPr>
        <w:t xml:space="preserve"> other messages not included in the study, such as warnings for avalanches. </w:t>
      </w:r>
      <w:r w:rsidR="00F97C9E" w:rsidRPr="00E4213A">
        <w:rPr>
          <w:rFonts w:asciiTheme="minorHAnsi" w:eastAsiaTheme="minorHAnsi" w:hAnsiTheme="minorHAnsi" w:cstheme="minorBidi"/>
          <w:b/>
          <w:bCs/>
          <w:lang w:val="en-US" w:eastAsia="en-US"/>
        </w:rPr>
        <w:t xml:space="preserve">As a result, future studies should include individuals in other geographic areas of the country.  </w:t>
      </w:r>
    </w:p>
    <w:p w14:paraId="4601CFE5" w14:textId="79E25BF3" w:rsidR="005B639D" w:rsidRPr="00796B8F" w:rsidRDefault="00F97C9E" w:rsidP="00796B8F">
      <w:pPr>
        <w:spacing w:after="120" w:line="276" w:lineRule="auto"/>
        <w:jc w:val="both"/>
        <w:rPr>
          <w:rFonts w:asciiTheme="minorHAnsi" w:eastAsiaTheme="minorHAnsi" w:hAnsiTheme="minorHAnsi" w:cstheme="minorBidi"/>
          <w:b/>
          <w:bCs/>
          <w:lang w:val="en-US" w:eastAsia="en-US"/>
        </w:rPr>
      </w:pPr>
      <w:r w:rsidRPr="00E4213A">
        <w:rPr>
          <w:rFonts w:asciiTheme="minorHAnsi" w:eastAsiaTheme="minorHAnsi" w:hAnsiTheme="minorHAnsi" w:cstheme="minorBidi"/>
          <w:lang w:val="en-US" w:eastAsia="en-US"/>
        </w:rPr>
        <w:lastRenderedPageBreak/>
        <w:t xml:space="preserve">The usability study results showed that people who are Deaf were four times more likely to understand the event contained in the message when the message format contained ASL. </w:t>
      </w:r>
      <w:r w:rsidR="00E72487" w:rsidRPr="00796B8F">
        <w:rPr>
          <w:rFonts w:asciiTheme="minorHAnsi" w:eastAsiaTheme="minorHAnsi" w:hAnsiTheme="minorHAnsi" w:cstheme="minorBidi"/>
          <w:lang w:val="en-US" w:eastAsia="en-US"/>
        </w:rPr>
        <w:t xml:space="preserve">TWS messages </w:t>
      </w:r>
      <w:r w:rsidR="002311CA" w:rsidRPr="00796B8F">
        <w:rPr>
          <w:rFonts w:asciiTheme="minorHAnsi" w:eastAsiaTheme="minorHAnsi" w:hAnsiTheme="minorHAnsi" w:cstheme="minorBidi"/>
          <w:lang w:val="en-US" w:eastAsia="en-US"/>
        </w:rPr>
        <w:t xml:space="preserve">showed higher rates of understanding of the event and lower rates of understanding the recommended protective action </w:t>
      </w:r>
      <w:r w:rsidR="00E72487" w:rsidRPr="00796B8F">
        <w:rPr>
          <w:rFonts w:asciiTheme="minorHAnsi" w:eastAsiaTheme="minorHAnsi" w:hAnsiTheme="minorHAnsi" w:cstheme="minorBidi"/>
          <w:lang w:val="en-US" w:eastAsia="en-US"/>
        </w:rPr>
        <w:t xml:space="preserve">over TO messages, </w:t>
      </w:r>
      <w:r w:rsidR="002311CA" w:rsidRPr="00796B8F">
        <w:rPr>
          <w:rFonts w:asciiTheme="minorHAnsi" w:eastAsiaTheme="minorHAnsi" w:hAnsiTheme="minorHAnsi" w:cstheme="minorBidi"/>
          <w:lang w:val="en-US" w:eastAsia="en-US"/>
        </w:rPr>
        <w:t xml:space="preserve">although these differences are not statistically significant. This mixed result could stem from the fact that, per NAPSGF </w:t>
      </w:r>
      <w:r w:rsidR="00796B8F" w:rsidRPr="00796B8F">
        <w:rPr>
          <w:rFonts w:asciiTheme="minorHAnsi" w:eastAsiaTheme="minorHAnsi" w:hAnsiTheme="minorHAnsi" w:cstheme="minorBidi"/>
          <w:lang w:val="en-US" w:eastAsia="en-US"/>
        </w:rPr>
        <w:t>guidelines</w:t>
      </w:r>
      <w:r w:rsidR="002311CA" w:rsidRPr="00796B8F">
        <w:rPr>
          <w:rFonts w:asciiTheme="minorHAnsi" w:eastAsiaTheme="minorHAnsi" w:hAnsiTheme="minorHAnsi" w:cstheme="minorBidi"/>
          <w:lang w:val="en-US" w:eastAsia="en-US"/>
        </w:rPr>
        <w:t>, only one symbol was included in each message. The proposed symbology set reflect</w:t>
      </w:r>
      <w:r w:rsidR="006E620B" w:rsidRPr="00796B8F">
        <w:rPr>
          <w:rFonts w:asciiTheme="minorHAnsi" w:eastAsiaTheme="minorHAnsi" w:hAnsiTheme="minorHAnsi" w:cstheme="minorBidi"/>
          <w:lang w:val="en-US" w:eastAsia="en-US"/>
        </w:rPr>
        <w:t>ed</w:t>
      </w:r>
      <w:r w:rsidR="002311CA" w:rsidRPr="00796B8F">
        <w:rPr>
          <w:rFonts w:asciiTheme="minorHAnsi" w:eastAsiaTheme="minorHAnsi" w:hAnsiTheme="minorHAnsi" w:cstheme="minorBidi"/>
          <w:lang w:val="en-US" w:eastAsia="en-US"/>
        </w:rPr>
        <w:t xml:space="preserve"> the events rather than the recommended protective actions</w:t>
      </w:r>
      <w:r w:rsidR="006B47E3" w:rsidRPr="00796B8F">
        <w:rPr>
          <w:rFonts w:asciiTheme="minorHAnsi" w:eastAsiaTheme="minorHAnsi" w:hAnsiTheme="minorHAnsi" w:cstheme="minorBidi"/>
          <w:lang w:val="en-US" w:eastAsia="en-US"/>
        </w:rPr>
        <w:t xml:space="preserve">, keeping in mind that WEA </w:t>
      </w:r>
      <w:r w:rsidR="004B1207">
        <w:rPr>
          <w:rFonts w:asciiTheme="minorHAnsi" w:eastAsiaTheme="minorHAnsi" w:hAnsiTheme="minorHAnsi" w:cstheme="minorBidi"/>
          <w:lang w:val="en-US" w:eastAsia="en-US"/>
        </w:rPr>
        <w:t>"</w:t>
      </w:r>
      <w:r w:rsidR="006B47E3" w:rsidRPr="00796B8F">
        <w:rPr>
          <w:rFonts w:asciiTheme="minorHAnsi" w:eastAsiaTheme="minorHAnsi" w:hAnsiTheme="minorHAnsi" w:cstheme="minorBidi"/>
          <w:lang w:val="en-US" w:eastAsia="en-US"/>
        </w:rPr>
        <w:t>events</w:t>
      </w:r>
      <w:r w:rsidR="004B1207">
        <w:rPr>
          <w:rFonts w:asciiTheme="minorHAnsi" w:eastAsiaTheme="minorHAnsi" w:hAnsiTheme="minorHAnsi" w:cstheme="minorBidi"/>
          <w:lang w:val="en-US" w:eastAsia="en-US"/>
        </w:rPr>
        <w:t>"</w:t>
      </w:r>
      <w:r w:rsidR="006B47E3" w:rsidRPr="00796B8F">
        <w:rPr>
          <w:rFonts w:asciiTheme="minorHAnsi" w:eastAsiaTheme="minorHAnsi" w:hAnsiTheme="minorHAnsi" w:cstheme="minorBidi"/>
          <w:lang w:val="en-US" w:eastAsia="en-US"/>
        </w:rPr>
        <w:t xml:space="preserve"> include</w:t>
      </w:r>
      <w:r w:rsidR="006E620B" w:rsidRPr="00796B8F">
        <w:rPr>
          <w:rFonts w:asciiTheme="minorHAnsi" w:eastAsiaTheme="minorHAnsi" w:hAnsiTheme="minorHAnsi" w:cstheme="minorBidi"/>
          <w:lang w:val="en-US" w:eastAsia="en-US"/>
        </w:rPr>
        <w:t>d</w:t>
      </w:r>
      <w:r w:rsidR="006B47E3" w:rsidRPr="00796B8F">
        <w:rPr>
          <w:rFonts w:asciiTheme="minorHAnsi" w:eastAsiaTheme="minorHAnsi" w:hAnsiTheme="minorHAnsi" w:cstheme="minorBidi"/>
          <w:lang w:val="en-US" w:eastAsia="en-US"/>
        </w:rPr>
        <w:t xml:space="preserve"> </w:t>
      </w:r>
      <w:r w:rsidR="004B1207">
        <w:rPr>
          <w:rFonts w:asciiTheme="minorHAnsi" w:eastAsiaTheme="minorHAnsi" w:hAnsiTheme="minorHAnsi" w:cstheme="minorBidi"/>
          <w:lang w:val="en-US" w:eastAsia="en-US"/>
        </w:rPr>
        <w:t>"</w:t>
      </w:r>
      <w:r w:rsidR="006B47E3" w:rsidRPr="00796B8F">
        <w:rPr>
          <w:rFonts w:asciiTheme="minorHAnsi" w:eastAsiaTheme="minorHAnsi" w:hAnsiTheme="minorHAnsi" w:cstheme="minorBidi"/>
          <w:lang w:val="en-US" w:eastAsia="en-US"/>
        </w:rPr>
        <w:t>Shelter in Place</w:t>
      </w:r>
      <w:r w:rsidR="004B1207">
        <w:rPr>
          <w:rFonts w:asciiTheme="minorHAnsi" w:eastAsiaTheme="minorHAnsi" w:hAnsiTheme="minorHAnsi" w:cstheme="minorBidi"/>
          <w:lang w:val="en-US" w:eastAsia="en-US"/>
        </w:rPr>
        <w:t>"</w:t>
      </w:r>
      <w:r w:rsidR="006B47E3" w:rsidRPr="00796B8F">
        <w:rPr>
          <w:rFonts w:asciiTheme="minorHAnsi" w:eastAsiaTheme="minorHAnsi" w:hAnsiTheme="minorHAnsi" w:cstheme="minorBidi"/>
          <w:lang w:val="en-US" w:eastAsia="en-US"/>
        </w:rPr>
        <w:t xml:space="preserve"> and </w:t>
      </w:r>
      <w:r w:rsidR="004B1207">
        <w:rPr>
          <w:rFonts w:asciiTheme="minorHAnsi" w:eastAsiaTheme="minorHAnsi" w:hAnsiTheme="minorHAnsi" w:cstheme="minorBidi"/>
          <w:lang w:val="en-US" w:eastAsia="en-US"/>
        </w:rPr>
        <w:t>"</w:t>
      </w:r>
      <w:r w:rsidR="006B47E3" w:rsidRPr="00796B8F">
        <w:rPr>
          <w:rFonts w:asciiTheme="minorHAnsi" w:eastAsiaTheme="minorHAnsi" w:hAnsiTheme="minorHAnsi" w:cstheme="minorBidi"/>
          <w:lang w:val="en-US" w:eastAsia="en-US"/>
        </w:rPr>
        <w:t>Evacuation Immediate.</w:t>
      </w:r>
      <w:r w:rsidR="004B1207">
        <w:rPr>
          <w:rFonts w:asciiTheme="minorHAnsi" w:eastAsiaTheme="minorHAnsi" w:hAnsiTheme="minorHAnsi" w:cstheme="minorBidi"/>
          <w:lang w:val="en-US" w:eastAsia="en-US"/>
        </w:rPr>
        <w:t>"</w:t>
      </w:r>
      <w:r w:rsidR="002311CA" w:rsidRPr="00796B8F">
        <w:rPr>
          <w:rFonts w:asciiTheme="minorHAnsi" w:eastAsiaTheme="minorHAnsi" w:hAnsiTheme="minorHAnsi" w:cstheme="minorBidi"/>
          <w:lang w:val="en-US" w:eastAsia="en-US"/>
        </w:rPr>
        <w:t xml:space="preserve"> </w:t>
      </w:r>
      <w:r w:rsidR="00A86C75" w:rsidRPr="00796B8F">
        <w:rPr>
          <w:rFonts w:asciiTheme="minorHAnsi" w:eastAsiaTheme="minorHAnsi" w:hAnsiTheme="minorHAnsi" w:cstheme="minorBidi"/>
          <w:lang w:val="en-US" w:eastAsia="en-US"/>
        </w:rPr>
        <w:t xml:space="preserve">As a result, participants either understood what was happening but not what protective action to take, or they understood they were to shelter in place or evacuate but not why that was necessary. </w:t>
      </w:r>
      <w:r w:rsidR="005B639D" w:rsidRPr="00796B8F">
        <w:rPr>
          <w:rFonts w:asciiTheme="minorHAnsi" w:eastAsiaTheme="minorHAnsi" w:hAnsiTheme="minorHAnsi" w:cstheme="minorBidi"/>
          <w:lang w:val="en-US" w:eastAsia="en-US"/>
        </w:rPr>
        <w:t>Even though the</w:t>
      </w:r>
      <w:r w:rsidR="002311CA" w:rsidRPr="00796B8F">
        <w:rPr>
          <w:rFonts w:asciiTheme="minorHAnsi" w:eastAsiaTheme="minorHAnsi" w:hAnsiTheme="minorHAnsi" w:cstheme="minorBidi"/>
          <w:lang w:val="en-US" w:eastAsia="en-US"/>
        </w:rPr>
        <w:t xml:space="preserve">se </w:t>
      </w:r>
      <w:r w:rsidR="005B639D" w:rsidRPr="00796B8F">
        <w:rPr>
          <w:rFonts w:asciiTheme="minorHAnsi" w:eastAsiaTheme="minorHAnsi" w:hAnsiTheme="minorHAnsi" w:cstheme="minorBidi"/>
          <w:lang w:val="en-US" w:eastAsia="en-US"/>
        </w:rPr>
        <w:t xml:space="preserve">are related, the relation </w:t>
      </w:r>
      <w:r w:rsidR="002311CA" w:rsidRPr="00796B8F">
        <w:rPr>
          <w:rFonts w:asciiTheme="minorHAnsi" w:eastAsiaTheme="minorHAnsi" w:hAnsiTheme="minorHAnsi" w:cstheme="minorBidi"/>
          <w:lang w:val="en-US" w:eastAsia="en-US"/>
        </w:rPr>
        <w:t xml:space="preserve">would appear </w:t>
      </w:r>
      <w:r w:rsidR="00CA4643">
        <w:rPr>
          <w:rFonts w:asciiTheme="minorHAnsi" w:eastAsiaTheme="minorHAnsi" w:hAnsiTheme="minorHAnsi" w:cstheme="minorBidi"/>
          <w:lang w:val="en-US" w:eastAsia="en-US"/>
        </w:rPr>
        <w:t>not to be strong enough for one symbol to convey the entire content of the message</w:t>
      </w:r>
      <w:r w:rsidR="002311CA" w:rsidRPr="00796B8F">
        <w:rPr>
          <w:rFonts w:asciiTheme="minorHAnsi" w:eastAsiaTheme="minorHAnsi" w:hAnsiTheme="minorHAnsi" w:cstheme="minorBidi"/>
          <w:lang w:val="en-US" w:eastAsia="en-US"/>
        </w:rPr>
        <w:t xml:space="preserve">. </w:t>
      </w:r>
      <w:r w:rsidR="00796B8F" w:rsidRPr="00796B8F">
        <w:rPr>
          <w:rFonts w:asciiTheme="minorHAnsi" w:eastAsiaTheme="minorHAnsi" w:hAnsiTheme="minorHAnsi" w:cstheme="minorBidi"/>
          <w:lang w:val="en-US" w:eastAsia="en-US"/>
        </w:rPr>
        <w:t>F</w:t>
      </w:r>
      <w:r w:rsidR="00A86C75" w:rsidRPr="00796B8F">
        <w:rPr>
          <w:rFonts w:asciiTheme="minorHAnsi" w:eastAsiaTheme="minorHAnsi" w:hAnsiTheme="minorHAnsi" w:cstheme="minorBidi"/>
          <w:lang w:val="en-US" w:eastAsia="en-US"/>
        </w:rPr>
        <w:t xml:space="preserve">or people to take the recommended action, they need to know why it is necessary and that the message applies to them. </w:t>
      </w:r>
      <w:r w:rsidR="002311CA" w:rsidRPr="00796B8F">
        <w:rPr>
          <w:rFonts w:asciiTheme="minorHAnsi" w:eastAsiaTheme="minorHAnsi" w:hAnsiTheme="minorHAnsi" w:cstheme="minorBidi"/>
          <w:b/>
          <w:bCs/>
          <w:lang w:val="en-US" w:eastAsia="en-US"/>
        </w:rPr>
        <w:t xml:space="preserve">As a result, if symbology is used to improve message comprehension, symbols should be used to </w:t>
      </w:r>
      <w:r w:rsidR="00A86C75" w:rsidRPr="00796B8F">
        <w:rPr>
          <w:rFonts w:asciiTheme="minorHAnsi" w:eastAsiaTheme="minorHAnsi" w:hAnsiTheme="minorHAnsi" w:cstheme="minorBidi"/>
          <w:b/>
          <w:bCs/>
          <w:lang w:val="en-US" w:eastAsia="en-US"/>
        </w:rPr>
        <w:t xml:space="preserve">convey </w:t>
      </w:r>
      <w:r w:rsidR="002311CA" w:rsidRPr="00796B8F">
        <w:rPr>
          <w:rFonts w:asciiTheme="minorHAnsi" w:eastAsiaTheme="minorHAnsi" w:hAnsiTheme="minorHAnsi" w:cstheme="minorBidi"/>
          <w:b/>
          <w:bCs/>
          <w:lang w:val="en-US" w:eastAsia="en-US"/>
        </w:rPr>
        <w:t xml:space="preserve">both the event and the protective action.  </w:t>
      </w:r>
    </w:p>
    <w:p w14:paraId="65BD48E9" w14:textId="41B1DCF9" w:rsidR="002E50B3" w:rsidRPr="00E41CC6" w:rsidRDefault="00F97C9E" w:rsidP="00E41CC6">
      <w:pPr>
        <w:spacing w:after="120" w:line="276" w:lineRule="auto"/>
        <w:jc w:val="both"/>
        <w:rPr>
          <w:rFonts w:asciiTheme="minorHAnsi" w:eastAsiaTheme="minorHAnsi" w:hAnsiTheme="minorHAnsi" w:cstheme="minorBidi"/>
          <w:b/>
          <w:bCs/>
          <w:lang w:val="en-US" w:eastAsia="en-US"/>
        </w:rPr>
      </w:pPr>
      <w:r w:rsidRPr="00E41CC6">
        <w:rPr>
          <w:rFonts w:asciiTheme="minorHAnsi" w:eastAsiaTheme="minorHAnsi" w:hAnsiTheme="minorHAnsi" w:cstheme="minorBidi"/>
          <w:lang w:val="en-US" w:eastAsia="en-US"/>
        </w:rPr>
        <w:t xml:space="preserve">The </w:t>
      </w:r>
      <w:r w:rsidR="00CA4643">
        <w:rPr>
          <w:rFonts w:asciiTheme="minorHAnsi" w:eastAsiaTheme="minorHAnsi" w:hAnsiTheme="minorHAnsi" w:cstheme="minorBidi"/>
          <w:lang w:val="en-US" w:eastAsia="en-US"/>
        </w:rPr>
        <w:t>usability study results</w:t>
      </w:r>
      <w:r w:rsidRPr="00E41CC6">
        <w:rPr>
          <w:rFonts w:asciiTheme="minorHAnsi" w:eastAsiaTheme="minorHAnsi" w:hAnsiTheme="minorHAnsi" w:cstheme="minorBidi"/>
          <w:lang w:val="en-US" w:eastAsia="en-US"/>
        </w:rPr>
        <w:t xml:space="preserve"> show that continued education about WEA is important. For example, participants did not understand that </w:t>
      </w:r>
      <w:r w:rsidR="004B1207">
        <w:rPr>
          <w:rFonts w:asciiTheme="minorHAnsi" w:eastAsiaTheme="minorHAnsi" w:hAnsiTheme="minorHAnsi" w:cstheme="minorBidi"/>
          <w:lang w:val="en-US" w:eastAsia="en-US"/>
        </w:rPr>
        <w:t>"</w:t>
      </w:r>
      <w:r w:rsidR="00E72487" w:rsidRPr="00E41CC6">
        <w:rPr>
          <w:rFonts w:asciiTheme="minorHAnsi" w:eastAsiaTheme="minorHAnsi" w:hAnsiTheme="minorHAnsi" w:cstheme="minorBidi"/>
          <w:lang w:val="en-US" w:eastAsia="en-US"/>
        </w:rPr>
        <w:t>A</w:t>
      </w:r>
      <w:r w:rsidRPr="00E41CC6">
        <w:rPr>
          <w:rFonts w:asciiTheme="minorHAnsi" w:eastAsiaTheme="minorHAnsi" w:hAnsiTheme="minorHAnsi" w:cstheme="minorBidi"/>
          <w:lang w:val="en-US" w:eastAsia="en-US"/>
        </w:rPr>
        <w:t xml:space="preserve">ll </w:t>
      </w:r>
      <w:r w:rsidR="00E72487" w:rsidRPr="00E41CC6">
        <w:rPr>
          <w:rFonts w:asciiTheme="minorHAnsi" w:eastAsiaTheme="minorHAnsi" w:hAnsiTheme="minorHAnsi" w:cstheme="minorBidi"/>
          <w:lang w:val="en-US" w:eastAsia="en-US"/>
        </w:rPr>
        <w:t>C</w:t>
      </w:r>
      <w:r w:rsidRPr="00E41CC6">
        <w:rPr>
          <w:rFonts w:asciiTheme="minorHAnsi" w:eastAsiaTheme="minorHAnsi" w:hAnsiTheme="minorHAnsi" w:cstheme="minorBidi"/>
          <w:lang w:val="en-US" w:eastAsia="en-US"/>
        </w:rPr>
        <w:t>lear</w:t>
      </w:r>
      <w:r w:rsidR="004B1207">
        <w:rPr>
          <w:rFonts w:asciiTheme="minorHAnsi" w:eastAsiaTheme="minorHAnsi" w:hAnsiTheme="minorHAnsi" w:cstheme="minorBidi"/>
          <w:lang w:val="en-US" w:eastAsia="en-US"/>
        </w:rPr>
        <w:t>"</w:t>
      </w:r>
      <w:r w:rsidRPr="00E41CC6">
        <w:rPr>
          <w:rFonts w:asciiTheme="minorHAnsi" w:eastAsiaTheme="minorHAnsi" w:hAnsiTheme="minorHAnsi" w:cstheme="minorBidi"/>
          <w:lang w:val="en-US" w:eastAsia="en-US"/>
        </w:rPr>
        <w:t xml:space="preserve"> meant the emergency was over, even when they saw that message in ASL.</w:t>
      </w:r>
      <w:r w:rsidR="00E72487" w:rsidRPr="00E41CC6">
        <w:rPr>
          <w:rFonts w:asciiTheme="minorHAnsi" w:eastAsiaTheme="minorHAnsi" w:hAnsiTheme="minorHAnsi" w:cstheme="minorBidi"/>
          <w:lang w:val="en-US" w:eastAsia="en-US"/>
        </w:rPr>
        <w:t xml:space="preserve"> </w:t>
      </w:r>
      <w:r w:rsidR="0010272E">
        <w:rPr>
          <w:rFonts w:asciiTheme="minorHAnsi" w:eastAsiaTheme="minorHAnsi" w:hAnsiTheme="minorHAnsi" w:cstheme="minorBidi"/>
          <w:lang w:val="en-US" w:eastAsia="en-US"/>
        </w:rPr>
        <w:t xml:space="preserve">Also, </w:t>
      </w:r>
      <w:r w:rsidRPr="00E41CC6">
        <w:rPr>
          <w:rFonts w:asciiTheme="minorHAnsi" w:eastAsiaTheme="minorHAnsi" w:hAnsiTheme="minorHAnsi" w:cstheme="minorBidi"/>
          <w:lang w:val="en-US" w:eastAsia="en-US"/>
        </w:rPr>
        <w:t xml:space="preserve">most </w:t>
      </w:r>
      <w:r w:rsidR="00684F63" w:rsidRPr="00E41CC6">
        <w:rPr>
          <w:rFonts w:asciiTheme="minorHAnsi" w:eastAsiaTheme="minorHAnsi" w:hAnsiTheme="minorHAnsi" w:cstheme="minorBidi"/>
          <w:lang w:val="en-US" w:eastAsia="en-US"/>
        </w:rPr>
        <w:t xml:space="preserve">participants </w:t>
      </w:r>
      <w:r w:rsidRPr="00E41CC6">
        <w:rPr>
          <w:rFonts w:asciiTheme="minorHAnsi" w:eastAsiaTheme="minorHAnsi" w:hAnsiTheme="minorHAnsi" w:cstheme="minorBidi"/>
          <w:lang w:val="en-US" w:eastAsia="en-US"/>
        </w:rPr>
        <w:t xml:space="preserve">did not understand what a </w:t>
      </w:r>
      <w:r w:rsidR="004B1207">
        <w:rPr>
          <w:rFonts w:asciiTheme="minorHAnsi" w:eastAsiaTheme="minorHAnsi" w:hAnsiTheme="minorHAnsi" w:cstheme="minorBidi"/>
          <w:lang w:val="en-US" w:eastAsia="en-US"/>
        </w:rPr>
        <w:t>"</w:t>
      </w:r>
      <w:r w:rsidRPr="00E41CC6">
        <w:rPr>
          <w:rFonts w:asciiTheme="minorHAnsi" w:eastAsiaTheme="minorHAnsi" w:hAnsiTheme="minorHAnsi" w:cstheme="minorBidi"/>
          <w:lang w:val="en-US" w:eastAsia="en-US"/>
        </w:rPr>
        <w:t>Civil Danger</w:t>
      </w:r>
      <w:r w:rsidR="004B1207">
        <w:rPr>
          <w:rFonts w:asciiTheme="minorHAnsi" w:eastAsiaTheme="minorHAnsi" w:hAnsiTheme="minorHAnsi" w:cstheme="minorBidi"/>
          <w:lang w:val="en-US" w:eastAsia="en-US"/>
        </w:rPr>
        <w:t>"</w:t>
      </w:r>
      <w:r w:rsidRPr="00E41CC6">
        <w:rPr>
          <w:rFonts w:asciiTheme="minorHAnsi" w:eastAsiaTheme="minorHAnsi" w:hAnsiTheme="minorHAnsi" w:cstheme="minorBidi"/>
          <w:lang w:val="en-US" w:eastAsia="en-US"/>
        </w:rPr>
        <w:t xml:space="preserve"> alert might entail and</w:t>
      </w:r>
      <w:r w:rsidR="00684F63" w:rsidRPr="00E41CC6">
        <w:rPr>
          <w:rFonts w:asciiTheme="minorHAnsi" w:eastAsiaTheme="minorHAnsi" w:hAnsiTheme="minorHAnsi" w:cstheme="minorBidi"/>
          <w:lang w:val="en-US" w:eastAsia="en-US"/>
        </w:rPr>
        <w:t xml:space="preserve">, as a result, </w:t>
      </w:r>
      <w:r w:rsidRPr="00E41CC6">
        <w:rPr>
          <w:rFonts w:asciiTheme="minorHAnsi" w:eastAsiaTheme="minorHAnsi" w:hAnsiTheme="minorHAnsi" w:cstheme="minorBidi"/>
          <w:lang w:val="en-US" w:eastAsia="en-US"/>
        </w:rPr>
        <w:t xml:space="preserve">stated that they </w:t>
      </w:r>
      <w:r w:rsidR="00684F63" w:rsidRPr="00E41CC6">
        <w:rPr>
          <w:rFonts w:asciiTheme="minorHAnsi" w:eastAsiaTheme="minorHAnsi" w:hAnsiTheme="minorHAnsi" w:cstheme="minorBidi"/>
          <w:lang w:val="en-US" w:eastAsia="en-US"/>
        </w:rPr>
        <w:t xml:space="preserve">would not </w:t>
      </w:r>
      <w:r w:rsidRPr="00E41CC6">
        <w:rPr>
          <w:rFonts w:asciiTheme="minorHAnsi" w:eastAsiaTheme="minorHAnsi" w:hAnsiTheme="minorHAnsi" w:cstheme="minorBidi"/>
          <w:lang w:val="en-US" w:eastAsia="en-US"/>
        </w:rPr>
        <w:t xml:space="preserve">follow the protective action recommendation. </w:t>
      </w:r>
      <w:r w:rsidR="00C21D25" w:rsidRPr="00E41CC6">
        <w:rPr>
          <w:rFonts w:asciiTheme="minorHAnsi" w:eastAsiaTheme="minorHAnsi" w:hAnsiTheme="minorHAnsi" w:cstheme="minorBidi"/>
          <w:b/>
          <w:bCs/>
          <w:lang w:val="en-US" w:eastAsia="en-US"/>
        </w:rPr>
        <w:t>These results indicate that</w:t>
      </w:r>
      <w:r w:rsidR="00974AC3" w:rsidRPr="00E41CC6">
        <w:rPr>
          <w:rFonts w:asciiTheme="minorHAnsi" w:eastAsiaTheme="minorHAnsi" w:hAnsiTheme="minorHAnsi" w:cstheme="minorBidi"/>
          <w:b/>
          <w:bCs/>
          <w:lang w:val="en-US" w:eastAsia="en-US"/>
        </w:rPr>
        <w:t xml:space="preserve"> people who are Deaf </w:t>
      </w:r>
      <w:r w:rsidR="00E41CC6">
        <w:rPr>
          <w:rFonts w:asciiTheme="minorHAnsi" w:eastAsiaTheme="minorHAnsi" w:hAnsiTheme="minorHAnsi" w:cstheme="minorBidi"/>
          <w:b/>
          <w:bCs/>
          <w:lang w:val="en-US" w:eastAsia="en-US"/>
        </w:rPr>
        <w:t>would benefit from</w:t>
      </w:r>
      <w:r w:rsidRPr="00E41CC6">
        <w:rPr>
          <w:rFonts w:asciiTheme="minorHAnsi" w:eastAsiaTheme="minorHAnsi" w:hAnsiTheme="minorHAnsi" w:cstheme="minorBidi"/>
          <w:b/>
          <w:bCs/>
          <w:lang w:val="en-US" w:eastAsia="en-US"/>
        </w:rPr>
        <w:t xml:space="preserve"> </w:t>
      </w:r>
      <w:r w:rsidR="00C21D25" w:rsidRPr="00E41CC6">
        <w:rPr>
          <w:rFonts w:asciiTheme="minorHAnsi" w:eastAsiaTheme="minorHAnsi" w:hAnsiTheme="minorHAnsi" w:cstheme="minorBidi"/>
          <w:b/>
          <w:bCs/>
          <w:lang w:val="en-US" w:eastAsia="en-US"/>
        </w:rPr>
        <w:t>f</w:t>
      </w:r>
      <w:r w:rsidR="003D3FD2" w:rsidRPr="00E41CC6">
        <w:rPr>
          <w:rFonts w:asciiTheme="minorHAnsi" w:eastAsiaTheme="minorHAnsi" w:hAnsiTheme="minorHAnsi" w:cstheme="minorBidi"/>
          <w:b/>
          <w:bCs/>
          <w:lang w:val="en-US" w:eastAsia="en-US"/>
        </w:rPr>
        <w:t xml:space="preserve">urther education about specific terms and geotargeting for WEA messages to be most effective.  </w:t>
      </w:r>
    </w:p>
    <w:p w14:paraId="7F0320C3" w14:textId="049E592B" w:rsidR="006B47E3" w:rsidRDefault="00CD1109" w:rsidP="00D76890">
      <w:pPr>
        <w:spacing w:after="120" w:line="276" w:lineRule="auto"/>
        <w:jc w:val="both"/>
        <w:rPr>
          <w:rFonts w:asciiTheme="minorHAnsi" w:eastAsiaTheme="minorHAnsi" w:hAnsiTheme="minorHAnsi" w:cstheme="minorBidi"/>
          <w:lang w:val="en-US" w:eastAsia="en-US"/>
        </w:rPr>
      </w:pPr>
      <w:r w:rsidRPr="00CD1109">
        <w:rPr>
          <w:rFonts w:asciiTheme="minorHAnsi" w:eastAsiaTheme="minorHAnsi" w:hAnsiTheme="minorHAnsi" w:cstheme="minorBidi"/>
          <w:noProof/>
          <w:lang w:val="en-US" w:eastAsia="en-US"/>
        </w:rPr>
        <mc:AlternateContent>
          <mc:Choice Requires="wps">
            <w:drawing>
              <wp:anchor distT="45720" distB="45720" distL="114300" distR="114300" simplePos="0" relativeHeight="251659264" behindDoc="0" locked="0" layoutInCell="1" allowOverlap="1" wp14:anchorId="42959D21" wp14:editId="4E65E7E3">
                <wp:simplePos x="0" y="0"/>
                <wp:positionH relativeFrom="margin">
                  <wp:posOffset>-99060</wp:posOffset>
                </wp:positionH>
                <wp:positionV relativeFrom="paragraph">
                  <wp:posOffset>1503680</wp:posOffset>
                </wp:positionV>
                <wp:extent cx="5600700" cy="19145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914525"/>
                        </a:xfrm>
                        <a:prstGeom prst="rect">
                          <a:avLst/>
                        </a:prstGeom>
                        <a:solidFill>
                          <a:schemeClr val="accent5">
                            <a:lumMod val="20000"/>
                            <a:lumOff val="80000"/>
                          </a:schemeClr>
                        </a:solidFill>
                        <a:ln w="9525">
                          <a:solidFill>
                            <a:schemeClr val="accent1">
                              <a:lumMod val="20000"/>
                              <a:lumOff val="80000"/>
                            </a:schemeClr>
                          </a:solidFill>
                          <a:miter lim="800000"/>
                          <a:headEnd/>
                          <a:tailEnd/>
                        </a:ln>
                      </wps:spPr>
                      <wps:txbx>
                        <w:txbxContent>
                          <w:p w14:paraId="394C8271" w14:textId="77777777" w:rsidR="00CD1109" w:rsidRPr="005E18A0" w:rsidRDefault="00CD1109" w:rsidP="00CD1109">
                            <w:pPr>
                              <w:spacing w:after="120" w:line="276" w:lineRule="auto"/>
                              <w:jc w:val="both"/>
                              <w:rPr>
                                <w:rFonts w:asciiTheme="minorHAnsi" w:eastAsiaTheme="minorHAnsi" w:hAnsiTheme="minorHAnsi" w:cstheme="minorBidi"/>
                                <w:lang w:val="en-US" w:eastAsia="en-US"/>
                              </w:rPr>
                            </w:pPr>
                            <w:r w:rsidRPr="00CD1109">
                              <w:rPr>
                                <w:rFonts w:asciiTheme="minorHAnsi" w:eastAsiaTheme="minorHAnsi" w:hAnsiTheme="minorHAnsi" w:cstheme="minorBidi"/>
                                <w:b/>
                                <w:bCs/>
                                <w:lang w:val="en-US" w:eastAsia="en-US"/>
                              </w:rPr>
                              <w:t>Citation:</w:t>
                            </w:r>
                            <w:r w:rsidRPr="00CD1109">
                              <w:rPr>
                                <w:rFonts w:asciiTheme="minorHAnsi" w:eastAsiaTheme="minorHAnsi" w:hAnsiTheme="minorHAnsi" w:cstheme="minorBidi"/>
                                <w:lang w:val="en-US" w:eastAsia="en-US"/>
                              </w:rPr>
                              <w:t xml:space="preserve"> </w:t>
                            </w:r>
                            <w:r w:rsidRPr="00ED3384">
                              <w:rPr>
                                <w:rFonts w:asciiTheme="minorHAnsi" w:eastAsiaTheme="minorHAnsi" w:hAnsiTheme="minorHAnsi" w:cstheme="minorBidi"/>
                                <w:lang w:val="en-US" w:eastAsia="en-US"/>
                              </w:rPr>
                              <w:t>Linden, M., LaForce, S., Shell, G., Heller, D. &amp; Chiodo, K. (2022).</w:t>
                            </w:r>
                            <w:r>
                              <w:rPr>
                                <w:rFonts w:asciiTheme="minorHAnsi" w:eastAsiaTheme="minorHAnsi" w:hAnsiTheme="minorHAnsi" w:cstheme="minorBidi"/>
                                <w:lang w:val="en-US" w:eastAsia="en-US"/>
                              </w:rPr>
                              <w:t xml:space="preserve"> </w:t>
                            </w:r>
                            <w:r w:rsidRPr="005E18A0">
                              <w:rPr>
                                <w:rFonts w:asciiTheme="minorHAnsi" w:eastAsiaTheme="minorHAnsi" w:hAnsiTheme="minorHAnsi" w:cstheme="minorBidi"/>
                                <w:lang w:val="en-US" w:eastAsia="en-US"/>
                              </w:rPr>
                              <w:t xml:space="preserve">The WEA Video Platform:  Emergency Alerts in Many Formats Allow Access for All </w:t>
                            </w:r>
                            <w:r w:rsidRPr="00CD1109">
                              <w:rPr>
                                <w:rFonts w:asciiTheme="minorHAnsi" w:eastAsiaTheme="minorHAnsi" w:hAnsiTheme="minorHAnsi" w:cstheme="minorBidi"/>
                                <w:lang w:val="en-US" w:eastAsia="en-US"/>
                              </w:rPr>
                              <w:t>[Research Brief].</w:t>
                            </w:r>
                          </w:p>
                          <w:p w14:paraId="4734F421" w14:textId="77777777" w:rsidR="00CD1109" w:rsidRPr="00ED3384" w:rsidRDefault="00CD1109" w:rsidP="00CD1109">
                            <w:pPr>
                              <w:spacing w:after="120" w:line="276" w:lineRule="auto"/>
                              <w:jc w:val="both"/>
                              <w:rPr>
                                <w:rFonts w:asciiTheme="minorHAnsi" w:eastAsiaTheme="minorHAnsi" w:hAnsiTheme="minorHAnsi" w:cstheme="minorBidi"/>
                                <w:lang w:val="en-US" w:eastAsia="en-US"/>
                              </w:rPr>
                            </w:pPr>
                            <w:r w:rsidRPr="00ED3384">
                              <w:rPr>
                                <w:rFonts w:asciiTheme="minorHAnsi" w:eastAsiaTheme="minorHAnsi" w:hAnsiTheme="minorHAnsi" w:cstheme="minorBidi"/>
                                <w:b/>
                                <w:bCs/>
                                <w:lang w:val="en-US" w:eastAsia="en-US"/>
                              </w:rPr>
                              <w:t>Acknowledgements:</w:t>
                            </w:r>
                            <w:r w:rsidRPr="00ED3384">
                              <w:rPr>
                                <w:rFonts w:asciiTheme="minorHAnsi" w:eastAsiaTheme="minorHAnsi" w:hAnsiTheme="minorHAnsi" w:cstheme="minorBidi"/>
                                <w:lang w:val="en-US" w:eastAsia="en-US"/>
                              </w:rPr>
                              <w:t xml:space="preserve"> The contents of this paper were developed under a grant from the National Institute on Disability, Independent Living, and Rehabilitation Research (NIDILRR grant number 90RE5025-01-00). NIDILRR is a Center within the Administration for Community Living (ACL), Department of Health and Human Services (HHS). The contents of this paper do not necessarily represent the policy of NIDILRR, ACL, HHS, and you should not assume endorsement by the Federal Government.”</w:t>
                            </w:r>
                          </w:p>
                          <w:p w14:paraId="06003C82" w14:textId="431C8CA6" w:rsidR="00CD1109" w:rsidRDefault="00CD11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959D21" id="_x0000_t202" coordsize="21600,21600" o:spt="202" path="m,l,21600r21600,l21600,xe">
                <v:stroke joinstyle="miter"/>
                <v:path gradientshapeok="t" o:connecttype="rect"/>
              </v:shapetype>
              <v:shape id="Text Box 2" o:spid="_x0000_s1026" type="#_x0000_t202" style="position:absolute;left:0;text-align:left;margin-left:-7.8pt;margin-top:118.4pt;width:441pt;height:150.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op2KwIAAJwEAAAOAAAAZHJzL2Uyb0RvYy54bWysVNtu2zAMfR+wfxD0vtgJkl6MOkWXrsOA&#10;7gJ0+wBGlmNhkqhJSuzs60fJSZptL8PQF0Ek5cNDHtI3t4PRbCd9UGhrPp2UnEkrsFF2U/NvXx/e&#10;XHEWItgGNFpZ870M/Hb5+tVN7yo5ww51Iz0jEBuq3tW8i9FVRRFEJw2ECTppKdiiNxDJ9Jui8dAT&#10;utHFrCwvih594zwKGQJ578cgX2b8tpUifm7bICPTNSduMZ8+n+t0FssbqDYeXKfEgQb8BwsDylLS&#10;E9Q9RGBbr/6CMkp4DNjGiUBTYNsqIXMNVM20/KOapw6czLVQc4I7tSm8HKz4tHtyXzyLw1scSMBc&#10;RHCPKL4HZnHVgd3IO++x7yQ0lHiaWlb0LlSHT1OrQxUSyLr/iA2JDNuIGWhovUldoToZoZMA+1PT&#10;5RCZIOfioiwvSwoJik2vp/PFbJFzQHX83PkQ30s0LF1q7knVDA+7xxATHaiOT1K2gFo1D0rrbKRJ&#10;kivt2Q5oBkAIaeMif663hviOfpol4pCngdw0M6P76uimFHkmE1JO+FsSbVlf8+vE/N8IjH1+OQJG&#10;RVojrUzNM+VDKUmzd7bJZUVQerxTLdoeREy6jQrGYT3QwyTmGps9yelxXBdab7p06H9y1tOq1Dz8&#10;2IKXnOkPlkaCNJun3crGfHE5I8OfR9bnEbCCoGoeORuvq5j3MTXO4h2NTquyqM9MDlxpBXLrD+ua&#10;duzczq+efyrLXwAAAP//AwBQSwMEFAAGAAgAAAAhAOZNhd7hAAAACwEAAA8AAABkcnMvZG93bnJl&#10;di54bWxMj8FOwzAQRO9I/IO1SNxap0lrRSFOVSFxo0htw4GbGy9xRGxHsdOEv2c5wXG1TzNvyv1i&#10;e3bDMXTeSdisE2DoGq8710qoLy+rHFiIymnVe4cSvjHAvrq/K1Wh/exOeDvHllGIC4WSYGIcCs5D&#10;Y9CqsPYDOvp9+tGqSOfYcj2qmcJtz9MkEdyqzlGDUQM+G2y+zpOVMI/H7ce7GcQpO9Z1enh9y00y&#10;Sfn4sByegEVc4h8Mv/qkDhU5Xf3kdGC9hNVmJwiVkGaCNhCRC7EFdpWwy/IMeFXy/xuqHwAAAP//&#10;AwBQSwECLQAUAAYACAAAACEAtoM4kv4AAADhAQAAEwAAAAAAAAAAAAAAAAAAAAAAW0NvbnRlbnRf&#10;VHlwZXNdLnhtbFBLAQItABQABgAIAAAAIQA4/SH/1gAAAJQBAAALAAAAAAAAAAAAAAAAAC8BAABf&#10;cmVscy8ucmVsc1BLAQItABQABgAIAAAAIQACzop2KwIAAJwEAAAOAAAAAAAAAAAAAAAAAC4CAABk&#10;cnMvZTJvRG9jLnhtbFBLAQItABQABgAIAAAAIQDmTYXe4QAAAAsBAAAPAAAAAAAAAAAAAAAAAIUE&#10;AABkcnMvZG93bnJldi54bWxQSwUGAAAAAAQABADzAAAAkwUAAAAA&#10;" fillcolor="#daeef3 [664]" strokecolor="#dbe5f1 [660]">
                <v:textbox>
                  <w:txbxContent>
                    <w:p w14:paraId="394C8271" w14:textId="77777777" w:rsidR="00CD1109" w:rsidRPr="005E18A0" w:rsidRDefault="00CD1109" w:rsidP="00CD1109">
                      <w:pPr>
                        <w:spacing w:after="120" w:line="276" w:lineRule="auto"/>
                        <w:jc w:val="both"/>
                        <w:rPr>
                          <w:rFonts w:asciiTheme="minorHAnsi" w:eastAsiaTheme="minorHAnsi" w:hAnsiTheme="minorHAnsi" w:cstheme="minorBidi"/>
                          <w:lang w:val="en-US" w:eastAsia="en-US"/>
                        </w:rPr>
                      </w:pPr>
                      <w:r w:rsidRPr="00CD1109">
                        <w:rPr>
                          <w:rFonts w:asciiTheme="minorHAnsi" w:eastAsiaTheme="minorHAnsi" w:hAnsiTheme="minorHAnsi" w:cstheme="minorBidi"/>
                          <w:b/>
                          <w:bCs/>
                          <w:lang w:val="en-US" w:eastAsia="en-US"/>
                        </w:rPr>
                        <w:t>Citation:</w:t>
                      </w:r>
                      <w:r w:rsidRPr="00CD1109">
                        <w:rPr>
                          <w:rFonts w:asciiTheme="minorHAnsi" w:eastAsiaTheme="minorHAnsi" w:hAnsiTheme="minorHAnsi" w:cstheme="minorBidi"/>
                          <w:lang w:val="en-US" w:eastAsia="en-US"/>
                        </w:rPr>
                        <w:t xml:space="preserve"> </w:t>
                      </w:r>
                      <w:r w:rsidRPr="00ED3384">
                        <w:rPr>
                          <w:rFonts w:asciiTheme="minorHAnsi" w:eastAsiaTheme="minorHAnsi" w:hAnsiTheme="minorHAnsi" w:cstheme="minorBidi"/>
                          <w:lang w:val="en-US" w:eastAsia="en-US"/>
                        </w:rPr>
                        <w:t>Linden, M., LaForce, S., Shell, G., Heller, D. &amp; Chiodo, K. (2022).</w:t>
                      </w:r>
                      <w:r>
                        <w:rPr>
                          <w:rFonts w:asciiTheme="minorHAnsi" w:eastAsiaTheme="minorHAnsi" w:hAnsiTheme="minorHAnsi" w:cstheme="minorBidi"/>
                          <w:lang w:val="en-US" w:eastAsia="en-US"/>
                        </w:rPr>
                        <w:t xml:space="preserve"> </w:t>
                      </w:r>
                      <w:r w:rsidRPr="005E18A0">
                        <w:rPr>
                          <w:rFonts w:asciiTheme="minorHAnsi" w:eastAsiaTheme="minorHAnsi" w:hAnsiTheme="minorHAnsi" w:cstheme="minorBidi"/>
                          <w:lang w:val="en-US" w:eastAsia="en-US"/>
                        </w:rPr>
                        <w:t xml:space="preserve">The WEA Video Platform:  Emergency Alerts in Many Formats Allow Access for All </w:t>
                      </w:r>
                      <w:r w:rsidRPr="00CD1109">
                        <w:rPr>
                          <w:rFonts w:asciiTheme="minorHAnsi" w:eastAsiaTheme="minorHAnsi" w:hAnsiTheme="minorHAnsi" w:cstheme="minorBidi"/>
                          <w:lang w:val="en-US" w:eastAsia="en-US"/>
                        </w:rPr>
                        <w:t>[Research Brief].</w:t>
                      </w:r>
                    </w:p>
                    <w:p w14:paraId="4734F421" w14:textId="77777777" w:rsidR="00CD1109" w:rsidRPr="00ED3384" w:rsidRDefault="00CD1109" w:rsidP="00CD1109">
                      <w:pPr>
                        <w:spacing w:after="120" w:line="276" w:lineRule="auto"/>
                        <w:jc w:val="both"/>
                        <w:rPr>
                          <w:rFonts w:asciiTheme="minorHAnsi" w:eastAsiaTheme="minorHAnsi" w:hAnsiTheme="minorHAnsi" w:cstheme="minorBidi"/>
                          <w:lang w:val="en-US" w:eastAsia="en-US"/>
                        </w:rPr>
                      </w:pPr>
                      <w:r w:rsidRPr="00ED3384">
                        <w:rPr>
                          <w:rFonts w:asciiTheme="minorHAnsi" w:eastAsiaTheme="minorHAnsi" w:hAnsiTheme="minorHAnsi" w:cstheme="minorBidi"/>
                          <w:b/>
                          <w:bCs/>
                          <w:lang w:val="en-US" w:eastAsia="en-US"/>
                        </w:rPr>
                        <w:t>Acknowledgements:</w:t>
                      </w:r>
                      <w:r w:rsidRPr="00ED3384">
                        <w:rPr>
                          <w:rFonts w:asciiTheme="minorHAnsi" w:eastAsiaTheme="minorHAnsi" w:hAnsiTheme="minorHAnsi" w:cstheme="minorBidi"/>
                          <w:lang w:val="en-US" w:eastAsia="en-US"/>
                        </w:rPr>
                        <w:t xml:space="preserve"> The contents of this paper were developed under a grant from the National Institute on Disability, Independent Living, and Rehabilitation Research (NIDILRR grant number 90RE5025-01-00). NIDILRR is a Center within the Administration for Community Living (ACL), Department of Health and Human Services (HHS). The contents of this paper do not necessarily represent the policy of NIDILRR, ACL, HHS, and you should not assume endorsement by the Federal Government.”</w:t>
                      </w:r>
                    </w:p>
                    <w:p w14:paraId="06003C82" w14:textId="431C8CA6" w:rsidR="00CD1109" w:rsidRDefault="00CD1109"/>
                  </w:txbxContent>
                </v:textbox>
                <w10:wrap type="square" anchorx="margin"/>
              </v:shape>
            </w:pict>
          </mc:Fallback>
        </mc:AlternateContent>
      </w:r>
      <w:r w:rsidR="00E734A9" w:rsidRPr="00D76890">
        <w:rPr>
          <w:rFonts w:asciiTheme="minorHAnsi" w:eastAsiaTheme="minorHAnsi" w:hAnsiTheme="minorHAnsi" w:cstheme="minorBidi"/>
          <w:lang w:val="en-US" w:eastAsia="en-US"/>
        </w:rPr>
        <w:t>More broadly</w:t>
      </w:r>
      <w:r w:rsidR="00E41CC6" w:rsidRPr="00D76890">
        <w:rPr>
          <w:rFonts w:asciiTheme="minorHAnsi" w:eastAsiaTheme="minorHAnsi" w:hAnsiTheme="minorHAnsi" w:cstheme="minorBidi"/>
          <w:lang w:val="en-US" w:eastAsia="en-US"/>
        </w:rPr>
        <w:t>,</w:t>
      </w:r>
      <w:r w:rsidR="00E734A9" w:rsidRPr="00D76890">
        <w:rPr>
          <w:rFonts w:asciiTheme="minorHAnsi" w:eastAsiaTheme="minorHAnsi" w:hAnsiTheme="minorHAnsi" w:cstheme="minorBidi"/>
          <w:lang w:val="en-US" w:eastAsia="en-US"/>
        </w:rPr>
        <w:t xml:space="preserve"> </w:t>
      </w:r>
      <w:r w:rsidR="002C79CA" w:rsidRPr="00D76890">
        <w:rPr>
          <w:rFonts w:asciiTheme="minorHAnsi" w:eastAsiaTheme="minorHAnsi" w:hAnsiTheme="minorHAnsi" w:cstheme="minorBidi"/>
          <w:lang w:val="en-US" w:eastAsia="en-US"/>
        </w:rPr>
        <w:t xml:space="preserve">FEMA and IPAWS should consult with ASL users and test both </w:t>
      </w:r>
      <w:r w:rsidR="00234948" w:rsidRPr="00D76890">
        <w:rPr>
          <w:rFonts w:asciiTheme="minorHAnsi" w:eastAsiaTheme="minorHAnsi" w:hAnsiTheme="minorHAnsi" w:cstheme="minorBidi"/>
          <w:lang w:val="en-US" w:eastAsia="en-US"/>
        </w:rPr>
        <w:t xml:space="preserve">the text-based language and symbols used in messaging to improve comprehension of critical information for the population of people who are Deaf. </w:t>
      </w:r>
      <w:r w:rsidR="008E66B0" w:rsidRPr="00D76890">
        <w:rPr>
          <w:rFonts w:asciiTheme="minorHAnsi" w:eastAsiaTheme="minorHAnsi" w:hAnsiTheme="minorHAnsi" w:cstheme="minorBidi"/>
          <w:lang w:val="en-US" w:eastAsia="en-US"/>
        </w:rPr>
        <w:t>A similar approach would benefit those w</w:t>
      </w:r>
      <w:r w:rsidR="00F82A46">
        <w:rPr>
          <w:rFonts w:asciiTheme="minorHAnsi" w:eastAsiaTheme="minorHAnsi" w:hAnsiTheme="minorHAnsi" w:cstheme="minorBidi"/>
          <w:lang w:val="en-US" w:eastAsia="en-US"/>
        </w:rPr>
        <w:t>ith</w:t>
      </w:r>
      <w:r w:rsidR="008E66B0" w:rsidRPr="00D76890">
        <w:rPr>
          <w:rFonts w:asciiTheme="minorHAnsi" w:eastAsiaTheme="minorHAnsi" w:hAnsiTheme="minorHAnsi" w:cstheme="minorBidi"/>
          <w:lang w:val="en-US" w:eastAsia="en-US"/>
        </w:rPr>
        <w:t xml:space="preserve"> cognitive disabilities, including the growing population of older adults with mild cognitive impairment. </w:t>
      </w:r>
      <w:r w:rsidR="003D3FD2" w:rsidRPr="00D76890">
        <w:rPr>
          <w:rFonts w:asciiTheme="minorHAnsi" w:eastAsiaTheme="minorHAnsi" w:hAnsiTheme="minorHAnsi" w:cstheme="minorBidi"/>
          <w:b/>
          <w:bCs/>
          <w:lang w:val="en-US" w:eastAsia="en-US"/>
        </w:rPr>
        <w:t xml:space="preserve">Further work </w:t>
      </w:r>
      <w:r w:rsidR="006B47E3" w:rsidRPr="00D76890">
        <w:rPr>
          <w:rFonts w:asciiTheme="minorHAnsi" w:eastAsiaTheme="minorHAnsi" w:hAnsiTheme="minorHAnsi" w:cstheme="minorBidi"/>
          <w:b/>
          <w:bCs/>
          <w:lang w:val="en-US" w:eastAsia="en-US"/>
        </w:rPr>
        <w:t>should include other populations of people with disabilities targeted by the App Development</w:t>
      </w:r>
      <w:r w:rsidR="00943353" w:rsidRPr="00D76890">
        <w:rPr>
          <w:rFonts w:asciiTheme="minorHAnsi" w:eastAsiaTheme="minorHAnsi" w:hAnsiTheme="minorHAnsi" w:cstheme="minorBidi"/>
          <w:b/>
          <w:bCs/>
          <w:lang w:val="en-US" w:eastAsia="en-US"/>
        </w:rPr>
        <w:t>.</w:t>
      </w:r>
      <w:r w:rsidR="00943353" w:rsidRPr="00D76890">
        <w:rPr>
          <w:rFonts w:asciiTheme="minorHAnsi" w:eastAsiaTheme="minorHAnsi" w:hAnsiTheme="minorHAnsi" w:cstheme="minorBidi"/>
          <w:lang w:val="en-US" w:eastAsia="en-US"/>
        </w:rPr>
        <w:t xml:space="preserve"> </w:t>
      </w:r>
    </w:p>
    <w:p w14:paraId="311E79BD" w14:textId="2714FF37" w:rsidR="00F97C9E" w:rsidRDefault="00F97C9E" w:rsidP="00E158D5">
      <w:pPr>
        <w:rPr>
          <w:b/>
          <w:bCs/>
        </w:rPr>
      </w:pPr>
    </w:p>
    <w:p w14:paraId="2E0C07E6" w14:textId="553E4222" w:rsidR="00E158D5" w:rsidRPr="00CD1109" w:rsidRDefault="00E158D5" w:rsidP="00E158D5">
      <w:pPr>
        <w:rPr>
          <w:rFonts w:asciiTheme="minorHAnsi" w:hAnsiTheme="minorHAnsi" w:cstheme="minorHAnsi"/>
          <w:b/>
          <w:bCs/>
        </w:rPr>
      </w:pPr>
      <w:r w:rsidRPr="00CD1109">
        <w:rPr>
          <w:rFonts w:asciiTheme="minorHAnsi" w:hAnsiTheme="minorHAnsi" w:cstheme="minorHAnsi"/>
          <w:b/>
          <w:bCs/>
        </w:rPr>
        <w:lastRenderedPageBreak/>
        <w:t>References:</w:t>
      </w:r>
    </w:p>
    <w:p w14:paraId="1F6C7214" w14:textId="77777777" w:rsidR="00856F0D" w:rsidRPr="00CD1109" w:rsidRDefault="008B2EDE" w:rsidP="00856F0D">
      <w:pPr>
        <w:pStyle w:val="EndNoteBibliography"/>
        <w:ind w:left="720" w:hanging="720"/>
        <w:rPr>
          <w:rFonts w:asciiTheme="minorHAnsi" w:hAnsiTheme="minorHAnsi" w:cstheme="minorHAnsi"/>
        </w:rPr>
      </w:pPr>
      <w:r w:rsidRPr="00CD1109">
        <w:rPr>
          <w:rFonts w:asciiTheme="minorHAnsi" w:hAnsiTheme="minorHAnsi" w:cstheme="minorHAnsi"/>
        </w:rPr>
        <w:fldChar w:fldCharType="begin"/>
      </w:r>
      <w:r w:rsidRPr="00CD1109">
        <w:rPr>
          <w:rFonts w:asciiTheme="minorHAnsi" w:hAnsiTheme="minorHAnsi" w:cstheme="minorHAnsi"/>
        </w:rPr>
        <w:instrText xml:space="preserve"> ADDIN EN.REFLIST </w:instrText>
      </w:r>
      <w:r w:rsidRPr="00CD1109">
        <w:rPr>
          <w:rFonts w:asciiTheme="minorHAnsi" w:hAnsiTheme="minorHAnsi" w:cstheme="minorHAnsi"/>
        </w:rPr>
        <w:fldChar w:fldCharType="separate"/>
      </w:r>
      <w:r w:rsidR="00856F0D" w:rsidRPr="00CD1109">
        <w:rPr>
          <w:rFonts w:asciiTheme="minorHAnsi" w:hAnsiTheme="minorHAnsi" w:cstheme="minorHAnsi"/>
        </w:rPr>
        <w:t xml:space="preserve">Federal Communications Commission. (2016). </w:t>
      </w:r>
      <w:r w:rsidR="00856F0D" w:rsidRPr="00CD1109">
        <w:rPr>
          <w:rFonts w:asciiTheme="minorHAnsi" w:hAnsiTheme="minorHAnsi" w:cstheme="minorHAnsi"/>
          <w:i/>
        </w:rPr>
        <w:t>Fourth Report and Order and Further Notice of Proposed Rulemaking In the Matter of Wireless Emergency Alerts [PS Docket No. 15-91]</w:t>
      </w:r>
      <w:r w:rsidR="00856F0D" w:rsidRPr="00CD1109">
        <w:rPr>
          <w:rFonts w:asciiTheme="minorHAnsi" w:hAnsiTheme="minorHAnsi" w:cstheme="minorHAnsi"/>
        </w:rPr>
        <w:t>. Washington DC.</w:t>
      </w:r>
    </w:p>
    <w:p w14:paraId="62701862" w14:textId="77777777" w:rsidR="00856F0D" w:rsidRPr="00CD1109" w:rsidRDefault="00856F0D" w:rsidP="00856F0D">
      <w:pPr>
        <w:pStyle w:val="EndNoteBibliography"/>
        <w:ind w:left="720" w:hanging="720"/>
        <w:rPr>
          <w:rFonts w:asciiTheme="minorHAnsi" w:hAnsiTheme="minorHAnsi" w:cstheme="minorHAnsi"/>
        </w:rPr>
      </w:pPr>
      <w:r w:rsidRPr="00CD1109">
        <w:rPr>
          <w:rFonts w:asciiTheme="minorHAnsi" w:hAnsiTheme="minorHAnsi" w:cstheme="minorHAnsi"/>
        </w:rPr>
        <w:t xml:space="preserve">Federal Communications Commisssion. (2013). Consumer Guide: Wireless Emergency Alerts. </w:t>
      </w:r>
      <w:r w:rsidRPr="00CD1109">
        <w:rPr>
          <w:rFonts w:asciiTheme="minorHAnsi" w:hAnsiTheme="minorHAnsi" w:cstheme="minorHAnsi"/>
          <w:i/>
        </w:rPr>
        <w:t xml:space="preserve">Consumer and Government Affairs Bureau. </w:t>
      </w:r>
      <w:r w:rsidRPr="00CD1109">
        <w:rPr>
          <w:rFonts w:asciiTheme="minorHAnsi" w:hAnsiTheme="minorHAnsi" w:cstheme="minorHAnsi"/>
        </w:rPr>
        <w:t xml:space="preserve">, 1-4. </w:t>
      </w:r>
    </w:p>
    <w:p w14:paraId="6F71C435" w14:textId="7181526E" w:rsidR="00856F0D" w:rsidRPr="00CD1109" w:rsidRDefault="00856F0D" w:rsidP="00856F0D">
      <w:pPr>
        <w:pStyle w:val="EndNoteBibliography"/>
        <w:ind w:left="720" w:hanging="720"/>
        <w:rPr>
          <w:rFonts w:asciiTheme="minorHAnsi" w:hAnsiTheme="minorHAnsi" w:cstheme="minorHAnsi"/>
        </w:rPr>
      </w:pPr>
      <w:r w:rsidRPr="00CD1109">
        <w:rPr>
          <w:rFonts w:asciiTheme="minorHAnsi" w:hAnsiTheme="minorHAnsi" w:cstheme="minorHAnsi"/>
        </w:rPr>
        <w:t xml:space="preserve">Federal Emergency Management Agency. (2004). Preparing for Disaster for People with Disabilities and other Special Needs. Retrieved from </w:t>
      </w:r>
      <w:hyperlink r:id="rId12" w:history="1">
        <w:r w:rsidRPr="00CD1109">
          <w:rPr>
            <w:rStyle w:val="Hyperlink"/>
            <w:rFonts w:asciiTheme="minorHAnsi" w:hAnsiTheme="minorHAnsi" w:cstheme="minorHAnsi"/>
          </w:rPr>
          <w:t>https://www.fema.gov/media-library/assets/documents/897</w:t>
        </w:r>
      </w:hyperlink>
    </w:p>
    <w:p w14:paraId="4526A88F" w14:textId="2B884532" w:rsidR="00856F0D" w:rsidRPr="00CD1109" w:rsidRDefault="00856F0D" w:rsidP="00856F0D">
      <w:pPr>
        <w:pStyle w:val="EndNoteBibliography"/>
        <w:ind w:left="720" w:hanging="720"/>
        <w:rPr>
          <w:rFonts w:asciiTheme="minorHAnsi" w:hAnsiTheme="minorHAnsi" w:cstheme="minorHAnsi"/>
        </w:rPr>
      </w:pPr>
      <w:r w:rsidRPr="00CD1109">
        <w:rPr>
          <w:rFonts w:asciiTheme="minorHAnsi" w:hAnsiTheme="minorHAnsi" w:cstheme="minorHAnsi"/>
        </w:rPr>
        <w:t xml:space="preserve">Federal Emergency Management Agency. (2012). "Common Alerting Protocol". </w:t>
      </w:r>
      <w:r w:rsidRPr="00CD1109">
        <w:rPr>
          <w:rFonts w:asciiTheme="minorHAnsi" w:hAnsiTheme="minorHAnsi" w:cstheme="minorHAnsi"/>
          <w:i/>
        </w:rPr>
        <w:t xml:space="preserve">Accessed May 5, 2013. </w:t>
      </w:r>
      <w:hyperlink r:id="rId13" w:history="1">
        <w:r w:rsidRPr="00CD1109">
          <w:rPr>
            <w:rStyle w:val="Hyperlink"/>
            <w:rFonts w:asciiTheme="minorHAnsi" w:hAnsiTheme="minorHAnsi" w:cstheme="minorHAnsi"/>
            <w:i/>
          </w:rPr>
          <w:t>http://www.fema.gov/common-alerting-protocol</w:t>
        </w:r>
      </w:hyperlink>
      <w:r w:rsidRPr="00CD1109">
        <w:rPr>
          <w:rFonts w:asciiTheme="minorHAnsi" w:hAnsiTheme="minorHAnsi" w:cstheme="minorHAnsi"/>
        </w:rPr>
        <w:t xml:space="preserve">. </w:t>
      </w:r>
    </w:p>
    <w:p w14:paraId="47F83D51" w14:textId="6A4439EC" w:rsidR="00856F0D" w:rsidRPr="00CD1109" w:rsidRDefault="00856F0D" w:rsidP="00856F0D">
      <w:pPr>
        <w:pStyle w:val="EndNoteBibliography"/>
        <w:ind w:left="720" w:hanging="720"/>
        <w:rPr>
          <w:rFonts w:asciiTheme="minorHAnsi" w:hAnsiTheme="minorHAnsi" w:cstheme="minorHAnsi"/>
        </w:rPr>
      </w:pPr>
      <w:r w:rsidRPr="00CD1109">
        <w:rPr>
          <w:rFonts w:asciiTheme="minorHAnsi" w:hAnsiTheme="minorHAnsi" w:cstheme="minorHAnsi"/>
        </w:rPr>
        <w:t xml:space="preserve">Federal Emergency Management Agency. (2015). Preparing Makes Sense for People with Disabilities Brochure. Retrieved from </w:t>
      </w:r>
      <w:hyperlink r:id="rId14" w:history="1">
        <w:r w:rsidRPr="00CD1109">
          <w:rPr>
            <w:rStyle w:val="Hyperlink"/>
            <w:rFonts w:asciiTheme="minorHAnsi" w:hAnsiTheme="minorHAnsi" w:cstheme="minorHAnsi"/>
          </w:rPr>
          <w:t>https://www.fema.gov/media-library/assets/documents/90360</w:t>
        </w:r>
      </w:hyperlink>
    </w:p>
    <w:p w14:paraId="4DE86252" w14:textId="69C64ED6" w:rsidR="00856F0D" w:rsidRPr="00CD1109" w:rsidRDefault="00856F0D" w:rsidP="00856F0D">
      <w:pPr>
        <w:pStyle w:val="EndNoteBibliography"/>
        <w:ind w:left="720" w:hanging="720"/>
        <w:rPr>
          <w:rFonts w:asciiTheme="minorHAnsi" w:hAnsiTheme="minorHAnsi" w:cstheme="minorHAnsi"/>
        </w:rPr>
      </w:pPr>
      <w:r w:rsidRPr="00CD1109">
        <w:rPr>
          <w:rFonts w:asciiTheme="minorHAnsi" w:hAnsiTheme="minorHAnsi" w:cstheme="minorHAnsi"/>
        </w:rPr>
        <w:t xml:space="preserve">Federal Emergency Management Agency. (2019). </w:t>
      </w:r>
      <w:r w:rsidRPr="00CD1109">
        <w:rPr>
          <w:rFonts w:asciiTheme="minorHAnsi" w:hAnsiTheme="minorHAnsi" w:cstheme="minorHAnsi"/>
          <w:i/>
        </w:rPr>
        <w:t xml:space="preserve">We are FEMA:  Helping People Before, During and After Disasters:  Publication 1. </w:t>
      </w:r>
      <w:r w:rsidRPr="00CD1109">
        <w:rPr>
          <w:rFonts w:asciiTheme="minorHAnsi" w:hAnsiTheme="minorHAnsi" w:cstheme="minorHAnsi"/>
        </w:rPr>
        <w:t xml:space="preserve">(FEMA No. FP112-01, Catolog No. 10314.1). Retrieved from </w:t>
      </w:r>
      <w:hyperlink r:id="rId15" w:history="1">
        <w:r w:rsidRPr="00CD1109">
          <w:rPr>
            <w:rStyle w:val="Hyperlink"/>
            <w:rFonts w:asciiTheme="minorHAnsi" w:hAnsiTheme="minorHAnsi" w:cstheme="minorHAnsi"/>
          </w:rPr>
          <w:t>https://www.fema.gov/sites/default/files/2020-03/publication-one_english_2019.pdf</w:t>
        </w:r>
      </w:hyperlink>
      <w:r w:rsidRPr="00CD1109">
        <w:rPr>
          <w:rFonts w:asciiTheme="minorHAnsi" w:hAnsiTheme="minorHAnsi" w:cstheme="minorHAnsi"/>
        </w:rPr>
        <w:t xml:space="preserve">: </w:t>
      </w:r>
      <w:hyperlink r:id="rId16" w:history="1">
        <w:r w:rsidRPr="00CD1109">
          <w:rPr>
            <w:rStyle w:val="Hyperlink"/>
            <w:rFonts w:asciiTheme="minorHAnsi" w:hAnsiTheme="minorHAnsi" w:cstheme="minorHAnsi"/>
          </w:rPr>
          <w:t>https://www.fema.gov/sites/default/files/2020-03/publication-one_english_2019.pdf</w:t>
        </w:r>
      </w:hyperlink>
    </w:p>
    <w:p w14:paraId="0EFD8E79" w14:textId="2583C305" w:rsidR="00856F0D" w:rsidRPr="00CD1109" w:rsidRDefault="00856F0D" w:rsidP="00856F0D">
      <w:pPr>
        <w:pStyle w:val="EndNoteBibliography"/>
        <w:ind w:left="720" w:hanging="720"/>
        <w:rPr>
          <w:rFonts w:asciiTheme="minorHAnsi" w:hAnsiTheme="minorHAnsi" w:cstheme="minorHAnsi"/>
        </w:rPr>
      </w:pPr>
      <w:r w:rsidRPr="00CD1109">
        <w:rPr>
          <w:rFonts w:asciiTheme="minorHAnsi" w:hAnsiTheme="minorHAnsi" w:cstheme="minorHAnsi"/>
        </w:rPr>
        <w:t xml:space="preserve">Moon, N. W., Griffiths, P. C., LaForce, M. S., &amp; Linden, M. A. (2020). Wireless Device Use by Individuals with Disabilities: Findings from a National Survey. </w:t>
      </w:r>
      <w:r w:rsidRPr="00CD1109">
        <w:rPr>
          <w:rFonts w:asciiTheme="minorHAnsi" w:hAnsiTheme="minorHAnsi" w:cstheme="minorHAnsi"/>
          <w:i/>
        </w:rPr>
        <w:t>Journal on Technology and Persons with Disabilities, 8</w:t>
      </w:r>
      <w:r w:rsidRPr="00CD1109">
        <w:rPr>
          <w:rFonts w:asciiTheme="minorHAnsi" w:hAnsiTheme="minorHAnsi" w:cstheme="minorHAnsi"/>
        </w:rPr>
        <w:t xml:space="preserve">, 196-209. Retrieved from </w:t>
      </w:r>
      <w:hyperlink r:id="rId17" w:history="1">
        <w:r w:rsidRPr="00CD1109">
          <w:rPr>
            <w:rStyle w:val="Hyperlink"/>
            <w:rFonts w:asciiTheme="minorHAnsi" w:hAnsiTheme="minorHAnsi" w:cstheme="minorHAnsi"/>
          </w:rPr>
          <w:t>http://scholarworks.csun.edu/handle/10211.3/215946</w:t>
        </w:r>
      </w:hyperlink>
    </w:p>
    <w:p w14:paraId="15FDCAEB" w14:textId="4E098687" w:rsidR="00856F0D" w:rsidRPr="00CD1109" w:rsidRDefault="00856F0D" w:rsidP="00856F0D">
      <w:pPr>
        <w:pStyle w:val="EndNoteBibliography"/>
        <w:ind w:left="720" w:hanging="720"/>
        <w:rPr>
          <w:rFonts w:asciiTheme="minorHAnsi" w:hAnsiTheme="minorHAnsi" w:cstheme="minorHAnsi"/>
        </w:rPr>
      </w:pPr>
      <w:r w:rsidRPr="00CD1109">
        <w:rPr>
          <w:rFonts w:asciiTheme="minorHAnsi" w:hAnsiTheme="minorHAnsi" w:cstheme="minorHAnsi"/>
        </w:rPr>
        <w:t xml:space="preserve">National Alliance for Public Safety GIS Foundation. Access Symbol Library. Retrieved from </w:t>
      </w:r>
      <w:hyperlink r:id="rId18" w:history="1">
        <w:r w:rsidRPr="00CD1109">
          <w:rPr>
            <w:rStyle w:val="Hyperlink"/>
            <w:rFonts w:asciiTheme="minorHAnsi" w:hAnsiTheme="minorHAnsi" w:cstheme="minorHAnsi"/>
          </w:rPr>
          <w:t>https://www.napsgfoundation.org/all-resources/symbology-library/</w:t>
        </w:r>
      </w:hyperlink>
    </w:p>
    <w:p w14:paraId="299C4B72" w14:textId="565000BF" w:rsidR="00856F0D" w:rsidRPr="00CD1109" w:rsidRDefault="00856F0D" w:rsidP="00856F0D">
      <w:pPr>
        <w:pStyle w:val="EndNoteBibliography"/>
        <w:ind w:left="720" w:hanging="720"/>
        <w:rPr>
          <w:rFonts w:asciiTheme="minorHAnsi" w:hAnsiTheme="minorHAnsi" w:cstheme="minorHAnsi"/>
        </w:rPr>
      </w:pPr>
      <w:r w:rsidRPr="00CD1109">
        <w:rPr>
          <w:rFonts w:asciiTheme="minorHAnsi" w:hAnsiTheme="minorHAnsi" w:cstheme="minorHAnsi"/>
        </w:rPr>
        <w:t xml:space="preserve">National Center on Birth Defects and Disabilities - Centers for Disease Control and Prevention. (2020). Disability Impacts All of Us. Retrieved from </w:t>
      </w:r>
      <w:hyperlink r:id="rId19" w:anchor=":~:text=61%20million%20adults%20in%20the,is%20highest%20in%20the%20South" w:history="1">
        <w:r w:rsidRPr="00CD1109">
          <w:rPr>
            <w:rStyle w:val="Hyperlink"/>
            <w:rFonts w:asciiTheme="minorHAnsi" w:hAnsiTheme="minorHAnsi" w:cstheme="minorHAnsi"/>
          </w:rPr>
          <w:t>https://www.cdc.gov/ncbddd/disabilityandhealth/infographic-disability-impacts-all.html#:~:text=61%20million%20adults%20in%20the,is%20highest%20in%20the%20South</w:t>
        </w:r>
      </w:hyperlink>
      <w:r w:rsidRPr="00CD1109">
        <w:rPr>
          <w:rFonts w:asciiTheme="minorHAnsi" w:hAnsiTheme="minorHAnsi" w:cstheme="minorHAnsi"/>
        </w:rPr>
        <w:t>.</w:t>
      </w:r>
    </w:p>
    <w:p w14:paraId="1D705FAD" w14:textId="77777777" w:rsidR="00856F0D" w:rsidRPr="00CD1109" w:rsidRDefault="00856F0D" w:rsidP="00856F0D">
      <w:pPr>
        <w:pStyle w:val="EndNoteBibliography"/>
        <w:ind w:left="720" w:hanging="720"/>
        <w:rPr>
          <w:rFonts w:asciiTheme="minorHAnsi" w:hAnsiTheme="minorHAnsi" w:cstheme="minorHAnsi"/>
        </w:rPr>
      </w:pPr>
      <w:r w:rsidRPr="00CD1109">
        <w:rPr>
          <w:rFonts w:asciiTheme="minorHAnsi" w:hAnsiTheme="minorHAnsi" w:cstheme="minorHAnsi"/>
        </w:rPr>
        <w:t xml:space="preserve">National Council on Disability. (2014 ). </w:t>
      </w:r>
      <w:r w:rsidRPr="00CD1109">
        <w:rPr>
          <w:rFonts w:asciiTheme="minorHAnsi" w:hAnsiTheme="minorHAnsi" w:cstheme="minorHAnsi"/>
          <w:i/>
        </w:rPr>
        <w:t>Effective Communictions for Peple with Disabilities:  Before, During, and After Emergencies.</w:t>
      </w:r>
      <w:r w:rsidRPr="00CD1109">
        <w:rPr>
          <w:rFonts w:asciiTheme="minorHAnsi" w:hAnsiTheme="minorHAnsi" w:cstheme="minorHAnsi"/>
        </w:rPr>
        <w:t xml:space="preserve"> Washington, DC: National Council on Disability.</w:t>
      </w:r>
    </w:p>
    <w:p w14:paraId="2A360232" w14:textId="77777777" w:rsidR="00856F0D" w:rsidRPr="00CD1109" w:rsidRDefault="00856F0D" w:rsidP="00856F0D">
      <w:pPr>
        <w:pStyle w:val="EndNoteBibliography"/>
        <w:ind w:left="720" w:hanging="720"/>
        <w:rPr>
          <w:rFonts w:asciiTheme="minorHAnsi" w:hAnsiTheme="minorHAnsi" w:cstheme="minorHAnsi"/>
        </w:rPr>
      </w:pPr>
      <w:r w:rsidRPr="00CD1109">
        <w:rPr>
          <w:rFonts w:asciiTheme="minorHAnsi" w:hAnsiTheme="minorHAnsi" w:cstheme="minorHAnsi"/>
        </w:rPr>
        <w:t xml:space="preserve">Paul, P. V., &amp; Jackson, D. W. (1993). </w:t>
      </w:r>
      <w:r w:rsidRPr="00CD1109">
        <w:rPr>
          <w:rFonts w:asciiTheme="minorHAnsi" w:hAnsiTheme="minorHAnsi" w:cstheme="minorHAnsi"/>
          <w:i/>
        </w:rPr>
        <w:t>Toward a psychology of deafness: Theoretical and empirical perspectives</w:t>
      </w:r>
      <w:r w:rsidRPr="00CD1109">
        <w:rPr>
          <w:rFonts w:asciiTheme="minorHAnsi" w:hAnsiTheme="minorHAnsi" w:cstheme="minorHAnsi"/>
        </w:rPr>
        <w:t>: Allyn &amp; Bacon.</w:t>
      </w:r>
    </w:p>
    <w:p w14:paraId="20442DED" w14:textId="77777777" w:rsidR="00856F0D" w:rsidRPr="00CD1109" w:rsidRDefault="00856F0D" w:rsidP="00856F0D">
      <w:pPr>
        <w:pStyle w:val="EndNoteBibliography"/>
        <w:ind w:left="720" w:hanging="720"/>
        <w:rPr>
          <w:rFonts w:asciiTheme="minorHAnsi" w:hAnsiTheme="minorHAnsi" w:cstheme="minorHAnsi"/>
        </w:rPr>
      </w:pPr>
      <w:r w:rsidRPr="00CD1109">
        <w:rPr>
          <w:rFonts w:asciiTheme="minorHAnsi" w:hAnsiTheme="minorHAnsi" w:cstheme="minorHAnsi"/>
        </w:rPr>
        <w:t>Strong, M., &amp; Prinz, P. M. J. T. J. o. D. S. (1997). A study of the relationship between American Sign Language and English literacy.</w:t>
      </w:r>
      <w:r w:rsidRPr="00CD1109">
        <w:rPr>
          <w:rFonts w:asciiTheme="minorHAnsi" w:hAnsiTheme="minorHAnsi" w:cstheme="minorHAnsi"/>
          <w:i/>
        </w:rPr>
        <w:t xml:space="preserve"> The Journal of Deaf Studies Deaf Education, 2</w:t>
      </w:r>
      <w:r w:rsidRPr="00CD1109">
        <w:rPr>
          <w:rFonts w:asciiTheme="minorHAnsi" w:hAnsiTheme="minorHAnsi" w:cstheme="minorHAnsi"/>
        </w:rPr>
        <w:t xml:space="preserve">(1), 37-46. </w:t>
      </w:r>
    </w:p>
    <w:p w14:paraId="6556FD9E" w14:textId="77777777" w:rsidR="00856F0D" w:rsidRPr="00CD1109" w:rsidRDefault="00856F0D" w:rsidP="00856F0D">
      <w:pPr>
        <w:pStyle w:val="EndNoteBibliography"/>
        <w:ind w:left="720" w:hanging="720"/>
        <w:rPr>
          <w:rFonts w:asciiTheme="minorHAnsi" w:hAnsiTheme="minorHAnsi" w:cstheme="minorHAnsi"/>
        </w:rPr>
      </w:pPr>
      <w:r w:rsidRPr="00CD1109">
        <w:rPr>
          <w:rFonts w:asciiTheme="minorHAnsi" w:hAnsiTheme="minorHAnsi" w:cstheme="minorHAnsi"/>
        </w:rPr>
        <w:t>The Twenty-first Century Communications Video Accessibility Act, Public Law 111-260 C.F.R. (2010).</w:t>
      </w:r>
    </w:p>
    <w:p w14:paraId="52BEFB79" w14:textId="67B507ED" w:rsidR="00856F0D" w:rsidRPr="00CD1109" w:rsidRDefault="00856F0D" w:rsidP="00856F0D">
      <w:pPr>
        <w:pStyle w:val="EndNoteBibliography"/>
        <w:ind w:left="720" w:hanging="720"/>
        <w:rPr>
          <w:rFonts w:asciiTheme="minorHAnsi" w:hAnsiTheme="minorHAnsi" w:cstheme="minorHAnsi"/>
        </w:rPr>
      </w:pPr>
      <w:r w:rsidRPr="00CD1109">
        <w:rPr>
          <w:rFonts w:asciiTheme="minorHAnsi" w:hAnsiTheme="minorHAnsi" w:cstheme="minorHAnsi"/>
        </w:rPr>
        <w:t xml:space="preserve">World Health Organization. (2013). </w:t>
      </w:r>
      <w:r w:rsidRPr="00CD1109">
        <w:rPr>
          <w:rFonts w:asciiTheme="minorHAnsi" w:hAnsiTheme="minorHAnsi" w:cstheme="minorHAnsi"/>
          <w:i/>
        </w:rPr>
        <w:t>Guidance Note on Disability and Emergency Risk Management for Health</w:t>
      </w:r>
      <w:r w:rsidRPr="00CD1109">
        <w:rPr>
          <w:rFonts w:asciiTheme="minorHAnsi" w:hAnsiTheme="minorHAnsi" w:cstheme="minorHAnsi"/>
        </w:rPr>
        <w:t xml:space="preserve">. Retrieved from </w:t>
      </w:r>
      <w:hyperlink r:id="rId20" w:history="1">
        <w:r w:rsidRPr="00CD1109">
          <w:rPr>
            <w:rStyle w:val="Hyperlink"/>
            <w:rFonts w:asciiTheme="minorHAnsi" w:hAnsiTheme="minorHAnsi" w:cstheme="minorHAnsi"/>
          </w:rPr>
          <w:t>http://www.who.int/hac/techguidance/preparedness/disability/en/</w:t>
        </w:r>
      </w:hyperlink>
    </w:p>
    <w:p w14:paraId="72D5B99A" w14:textId="05F1948C" w:rsidR="00FE4713" w:rsidRDefault="008B2EDE" w:rsidP="0080308E">
      <w:pPr>
        <w:pStyle w:val="Figurecaption"/>
      </w:pPr>
      <w:r w:rsidRPr="00CD1109">
        <w:rPr>
          <w:rFonts w:asciiTheme="minorHAnsi" w:hAnsiTheme="minorHAnsi" w:cstheme="minorHAnsi"/>
        </w:rPr>
        <w:fldChar w:fldCharType="end"/>
      </w:r>
    </w:p>
    <w:sectPr w:rsidR="00FE4713" w:rsidSect="00074B81">
      <w:pgSz w:w="11901" w:h="16840"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0D6D4" w14:textId="77777777" w:rsidR="00AE7760" w:rsidRDefault="00AE7760" w:rsidP="00AF2C92">
      <w:r>
        <w:separator/>
      </w:r>
    </w:p>
  </w:endnote>
  <w:endnote w:type="continuationSeparator" w:id="0">
    <w:p w14:paraId="091C8CB4" w14:textId="77777777" w:rsidR="00AE7760" w:rsidRDefault="00AE7760" w:rsidP="00AF2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altName w:val="Arial"/>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Bold">
    <w:altName w:val="Calibri"/>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24C1B" w14:textId="77777777" w:rsidR="00AE7760" w:rsidRDefault="00AE7760" w:rsidP="00AF2C92">
      <w:r>
        <w:separator/>
      </w:r>
    </w:p>
  </w:footnote>
  <w:footnote w:type="continuationSeparator" w:id="0">
    <w:p w14:paraId="7475244C" w14:textId="77777777" w:rsidR="00AE7760" w:rsidRDefault="00AE7760" w:rsidP="00AF2C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1FECAF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C74E2D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8F228E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274B1E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2442F1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9147BC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94C1B5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4C6DA0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72E2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DC819A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2B9238C0"/>
    <w:multiLevelType w:val="hybridMultilevel"/>
    <w:tmpl w:val="8B6C477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7B35DAB"/>
    <w:multiLevelType w:val="hybridMultilevel"/>
    <w:tmpl w:val="7736D3C4"/>
    <w:lvl w:ilvl="0" w:tplc="9372242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509537BA"/>
    <w:multiLevelType w:val="hybridMultilevel"/>
    <w:tmpl w:val="5622C22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0E90FD3"/>
    <w:multiLevelType w:val="hybridMultilevel"/>
    <w:tmpl w:val="A2A6586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EAD3F9B"/>
    <w:multiLevelType w:val="hybridMultilevel"/>
    <w:tmpl w:val="9E14CFBE"/>
    <w:lvl w:ilvl="0" w:tplc="09B82C02">
      <w:start w:val="1"/>
      <w:numFmt w:val="bullet"/>
      <w:lvlText w:val=""/>
      <w:lvlJc w:val="left"/>
      <w:pPr>
        <w:ind w:left="720" w:hanging="360"/>
      </w:pPr>
      <w:rPr>
        <w:rFonts w:ascii="Symbol" w:hAnsi="Symbol" w:hint="default"/>
        <w:color w:val="auto"/>
      </w:rPr>
    </w:lvl>
    <w:lvl w:ilvl="1" w:tplc="51A44F82">
      <w:start w:val="1"/>
      <w:numFmt w:val="bullet"/>
      <w:lvlText w:val="­"/>
      <w:lvlJc w:val="left"/>
      <w:pPr>
        <w:ind w:left="1440" w:hanging="360"/>
      </w:pPr>
      <w:rPr>
        <w:rFonts w:ascii="Calibri" w:hAnsi="Calibri"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53172135">
    <w:abstractNumId w:val="15"/>
  </w:num>
  <w:num w:numId="2" w16cid:durableId="15230087">
    <w:abstractNumId w:val="22"/>
  </w:num>
  <w:num w:numId="3" w16cid:durableId="1852406150">
    <w:abstractNumId w:val="1"/>
  </w:num>
  <w:num w:numId="4" w16cid:durableId="1654068448">
    <w:abstractNumId w:val="2"/>
  </w:num>
  <w:num w:numId="5" w16cid:durableId="1818717568">
    <w:abstractNumId w:val="3"/>
  </w:num>
  <w:num w:numId="6" w16cid:durableId="1476725866">
    <w:abstractNumId w:val="4"/>
  </w:num>
  <w:num w:numId="7" w16cid:durableId="978918121">
    <w:abstractNumId w:val="9"/>
  </w:num>
  <w:num w:numId="8" w16cid:durableId="1892181856">
    <w:abstractNumId w:val="5"/>
  </w:num>
  <w:num w:numId="9" w16cid:durableId="647168668">
    <w:abstractNumId w:val="7"/>
  </w:num>
  <w:num w:numId="10" w16cid:durableId="1379814887">
    <w:abstractNumId w:val="6"/>
  </w:num>
  <w:num w:numId="11" w16cid:durableId="431320705">
    <w:abstractNumId w:val="10"/>
  </w:num>
  <w:num w:numId="12" w16cid:durableId="2133279316">
    <w:abstractNumId w:val="8"/>
  </w:num>
  <w:num w:numId="13" w16cid:durableId="772019110">
    <w:abstractNumId w:val="18"/>
  </w:num>
  <w:num w:numId="14" w16cid:durableId="1939867344">
    <w:abstractNumId w:val="23"/>
  </w:num>
  <w:num w:numId="15" w16cid:durableId="1495880423">
    <w:abstractNumId w:val="14"/>
  </w:num>
  <w:num w:numId="16" w16cid:durableId="1556549336">
    <w:abstractNumId w:val="17"/>
  </w:num>
  <w:num w:numId="17" w16cid:durableId="864905421">
    <w:abstractNumId w:val="11"/>
  </w:num>
  <w:num w:numId="18" w16cid:durableId="733504204">
    <w:abstractNumId w:val="0"/>
  </w:num>
  <w:num w:numId="19" w16cid:durableId="27067130">
    <w:abstractNumId w:val="12"/>
  </w:num>
  <w:num w:numId="20" w16cid:durableId="560285605">
    <w:abstractNumId w:val="23"/>
  </w:num>
  <w:num w:numId="21" w16cid:durableId="1772580708">
    <w:abstractNumId w:val="23"/>
  </w:num>
  <w:num w:numId="22" w16cid:durableId="1306854682">
    <w:abstractNumId w:val="23"/>
  </w:num>
  <w:num w:numId="23" w16cid:durableId="442918885">
    <w:abstractNumId w:val="23"/>
  </w:num>
  <w:num w:numId="24" w16cid:durableId="256985274">
    <w:abstractNumId w:val="18"/>
  </w:num>
  <w:num w:numId="25" w16cid:durableId="389499223">
    <w:abstractNumId w:val="19"/>
  </w:num>
  <w:num w:numId="26" w16cid:durableId="875855820">
    <w:abstractNumId w:val="24"/>
  </w:num>
  <w:num w:numId="27" w16cid:durableId="2059744870">
    <w:abstractNumId w:val="26"/>
  </w:num>
  <w:num w:numId="28" w16cid:durableId="1722897227">
    <w:abstractNumId w:val="23"/>
  </w:num>
  <w:num w:numId="29" w16cid:durableId="955910097">
    <w:abstractNumId w:val="13"/>
  </w:num>
  <w:num w:numId="30" w16cid:durableId="803086129">
    <w:abstractNumId w:val="27"/>
  </w:num>
  <w:num w:numId="31" w16cid:durableId="783892068">
    <w:abstractNumId w:val="28"/>
  </w:num>
  <w:num w:numId="32" w16cid:durableId="94521498">
    <w:abstractNumId w:val="20"/>
  </w:num>
  <w:num w:numId="33" w16cid:durableId="1883325317">
    <w:abstractNumId w:val="21"/>
  </w:num>
  <w:num w:numId="34" w16cid:durableId="2029136820">
    <w:abstractNumId w:val="25"/>
  </w:num>
  <w:num w:numId="35" w16cid:durableId="1785441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AwMTY0NzYzMDAyNbNU0lEKTi0uzszPAykwqwUAOq7hHiwAAAA="/>
    <w:docVar w:name="EN.InstantFormat" w:val="&lt;ENInstantFormat&gt;&lt;Enabled&gt;1&lt;/Enabled&gt;&lt;ScanUnformatted&gt;1&lt;/ScanUnformatted&gt;&lt;ScanChanges&gt;1&lt;/ScanChanges&gt;&lt;Suspended&gt;1&lt;/Suspended&gt;&lt;/ENInstantFormat&gt;"/>
    <w:docVar w:name="EN.Layout" w:val="&lt;ENLayout&gt;&lt;Style&gt;APA 6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exdsvwd75fxr6ewxpcxfa0nra99fewv2awe&quot;&gt;ml_new recovered-Converted&lt;record-ids&gt;&lt;item&gt;1401&lt;/item&gt;&lt;item&gt;1403&lt;/item&gt;&lt;item&gt;1405&lt;/item&gt;&lt;item&gt;1406&lt;/item&gt;&lt;item&gt;1407&lt;/item&gt;&lt;item&gt;1408&lt;/item&gt;&lt;item&gt;1410&lt;/item&gt;&lt;item&gt;1411&lt;/item&gt;&lt;item&gt;1412&lt;/item&gt;&lt;item&gt;1413&lt;/item&gt;&lt;item&gt;1632&lt;/item&gt;&lt;/record-ids&gt;&lt;/item&gt;&lt;/Libraries&gt;"/>
  </w:docVars>
  <w:rsids>
    <w:rsidRoot w:val="00381DC2"/>
    <w:rsid w:val="00000746"/>
    <w:rsid w:val="00001899"/>
    <w:rsid w:val="00003083"/>
    <w:rsid w:val="000049AD"/>
    <w:rsid w:val="0000681B"/>
    <w:rsid w:val="000133C0"/>
    <w:rsid w:val="00014C4E"/>
    <w:rsid w:val="00017107"/>
    <w:rsid w:val="000202E2"/>
    <w:rsid w:val="00022441"/>
    <w:rsid w:val="0002261E"/>
    <w:rsid w:val="00024839"/>
    <w:rsid w:val="00026871"/>
    <w:rsid w:val="000274AC"/>
    <w:rsid w:val="00037A98"/>
    <w:rsid w:val="000402CE"/>
    <w:rsid w:val="000427FB"/>
    <w:rsid w:val="0004455E"/>
    <w:rsid w:val="00047CB5"/>
    <w:rsid w:val="00051FAA"/>
    <w:rsid w:val="000520DC"/>
    <w:rsid w:val="0005229D"/>
    <w:rsid w:val="000572A9"/>
    <w:rsid w:val="00061325"/>
    <w:rsid w:val="000733AC"/>
    <w:rsid w:val="00074B81"/>
    <w:rsid w:val="00074D22"/>
    <w:rsid w:val="00075081"/>
    <w:rsid w:val="0007528A"/>
    <w:rsid w:val="000811AB"/>
    <w:rsid w:val="000827E8"/>
    <w:rsid w:val="00083C5F"/>
    <w:rsid w:val="00085A12"/>
    <w:rsid w:val="0009172C"/>
    <w:rsid w:val="000930EC"/>
    <w:rsid w:val="00095E61"/>
    <w:rsid w:val="000966C1"/>
    <w:rsid w:val="000970AC"/>
    <w:rsid w:val="000A0462"/>
    <w:rsid w:val="000A1167"/>
    <w:rsid w:val="000A4428"/>
    <w:rsid w:val="000A4E5E"/>
    <w:rsid w:val="000A6D40"/>
    <w:rsid w:val="000A7430"/>
    <w:rsid w:val="000A7BC3"/>
    <w:rsid w:val="000B1661"/>
    <w:rsid w:val="000B1F0B"/>
    <w:rsid w:val="000B2E88"/>
    <w:rsid w:val="000B4603"/>
    <w:rsid w:val="000B64A6"/>
    <w:rsid w:val="000C09BE"/>
    <w:rsid w:val="000C1380"/>
    <w:rsid w:val="000C1740"/>
    <w:rsid w:val="000C554F"/>
    <w:rsid w:val="000D0DC5"/>
    <w:rsid w:val="000D15FF"/>
    <w:rsid w:val="000D1C7F"/>
    <w:rsid w:val="000D28DF"/>
    <w:rsid w:val="000D488B"/>
    <w:rsid w:val="000D68DF"/>
    <w:rsid w:val="000E138D"/>
    <w:rsid w:val="000E187A"/>
    <w:rsid w:val="000E2D61"/>
    <w:rsid w:val="000E450E"/>
    <w:rsid w:val="000E5365"/>
    <w:rsid w:val="000E6259"/>
    <w:rsid w:val="000F1936"/>
    <w:rsid w:val="000F4677"/>
    <w:rsid w:val="000F5BE0"/>
    <w:rsid w:val="00100587"/>
    <w:rsid w:val="0010272E"/>
    <w:rsid w:val="0010284E"/>
    <w:rsid w:val="00103122"/>
    <w:rsid w:val="0010336A"/>
    <w:rsid w:val="001050F1"/>
    <w:rsid w:val="00105AEA"/>
    <w:rsid w:val="00106DAF"/>
    <w:rsid w:val="00114ABE"/>
    <w:rsid w:val="00116023"/>
    <w:rsid w:val="00116171"/>
    <w:rsid w:val="001325E2"/>
    <w:rsid w:val="00134A51"/>
    <w:rsid w:val="001402A7"/>
    <w:rsid w:val="00140727"/>
    <w:rsid w:val="001417C9"/>
    <w:rsid w:val="0014593D"/>
    <w:rsid w:val="00147ADB"/>
    <w:rsid w:val="0015703E"/>
    <w:rsid w:val="00160628"/>
    <w:rsid w:val="00161344"/>
    <w:rsid w:val="00161CA1"/>
    <w:rsid w:val="00162195"/>
    <w:rsid w:val="0016322A"/>
    <w:rsid w:val="001638BC"/>
    <w:rsid w:val="00165A21"/>
    <w:rsid w:val="001661EA"/>
    <w:rsid w:val="001705CE"/>
    <w:rsid w:val="001763D2"/>
    <w:rsid w:val="0017714B"/>
    <w:rsid w:val="001804DF"/>
    <w:rsid w:val="00181BDC"/>
    <w:rsid w:val="00181DB0"/>
    <w:rsid w:val="001829E3"/>
    <w:rsid w:val="001860D0"/>
    <w:rsid w:val="00190DBF"/>
    <w:rsid w:val="001924C0"/>
    <w:rsid w:val="00194F0D"/>
    <w:rsid w:val="0019731E"/>
    <w:rsid w:val="001A09FE"/>
    <w:rsid w:val="001A308C"/>
    <w:rsid w:val="001A33AC"/>
    <w:rsid w:val="001A67C9"/>
    <w:rsid w:val="001A69DE"/>
    <w:rsid w:val="001A713C"/>
    <w:rsid w:val="001B1C7C"/>
    <w:rsid w:val="001B398F"/>
    <w:rsid w:val="001B46C6"/>
    <w:rsid w:val="001B4B48"/>
    <w:rsid w:val="001B4D1F"/>
    <w:rsid w:val="001B7681"/>
    <w:rsid w:val="001B7CAE"/>
    <w:rsid w:val="001B7F1B"/>
    <w:rsid w:val="001C0772"/>
    <w:rsid w:val="001C0D4F"/>
    <w:rsid w:val="001C1BA3"/>
    <w:rsid w:val="001C1DEC"/>
    <w:rsid w:val="001C5452"/>
    <w:rsid w:val="001C5736"/>
    <w:rsid w:val="001C5F80"/>
    <w:rsid w:val="001D647F"/>
    <w:rsid w:val="001D6857"/>
    <w:rsid w:val="001E0572"/>
    <w:rsid w:val="001E0A67"/>
    <w:rsid w:val="001E0E5B"/>
    <w:rsid w:val="001E1028"/>
    <w:rsid w:val="001E14E2"/>
    <w:rsid w:val="001E237B"/>
    <w:rsid w:val="001E6302"/>
    <w:rsid w:val="001E7DCB"/>
    <w:rsid w:val="001F3411"/>
    <w:rsid w:val="001F4287"/>
    <w:rsid w:val="001F4DBA"/>
    <w:rsid w:val="001F64D3"/>
    <w:rsid w:val="001F6DA9"/>
    <w:rsid w:val="00203383"/>
    <w:rsid w:val="0020415E"/>
    <w:rsid w:val="00204FF4"/>
    <w:rsid w:val="0021056E"/>
    <w:rsid w:val="0021075D"/>
    <w:rsid w:val="0021165A"/>
    <w:rsid w:val="00211BC9"/>
    <w:rsid w:val="0021620C"/>
    <w:rsid w:val="00216426"/>
    <w:rsid w:val="00216E78"/>
    <w:rsid w:val="00217275"/>
    <w:rsid w:val="002211DD"/>
    <w:rsid w:val="0022350B"/>
    <w:rsid w:val="002311CA"/>
    <w:rsid w:val="00234948"/>
    <w:rsid w:val="00236F4B"/>
    <w:rsid w:val="00241776"/>
    <w:rsid w:val="00242B0D"/>
    <w:rsid w:val="002467C6"/>
    <w:rsid w:val="0024692A"/>
    <w:rsid w:val="00252BBA"/>
    <w:rsid w:val="00253123"/>
    <w:rsid w:val="00262923"/>
    <w:rsid w:val="00263876"/>
    <w:rsid w:val="00264001"/>
    <w:rsid w:val="00266354"/>
    <w:rsid w:val="00266B2E"/>
    <w:rsid w:val="00266D3B"/>
    <w:rsid w:val="00267A18"/>
    <w:rsid w:val="00273462"/>
    <w:rsid w:val="0027395B"/>
    <w:rsid w:val="00275854"/>
    <w:rsid w:val="00283B41"/>
    <w:rsid w:val="00285F28"/>
    <w:rsid w:val="00286398"/>
    <w:rsid w:val="00291707"/>
    <w:rsid w:val="00294339"/>
    <w:rsid w:val="0029651D"/>
    <w:rsid w:val="002A3C42"/>
    <w:rsid w:val="002A5D75"/>
    <w:rsid w:val="002B122A"/>
    <w:rsid w:val="002B1B1A"/>
    <w:rsid w:val="002B5B25"/>
    <w:rsid w:val="002B7228"/>
    <w:rsid w:val="002C046E"/>
    <w:rsid w:val="002C42A9"/>
    <w:rsid w:val="002C53EE"/>
    <w:rsid w:val="002C79CA"/>
    <w:rsid w:val="002D13E4"/>
    <w:rsid w:val="002D24F7"/>
    <w:rsid w:val="002D2799"/>
    <w:rsid w:val="002D2CD7"/>
    <w:rsid w:val="002D4DDC"/>
    <w:rsid w:val="002D4F75"/>
    <w:rsid w:val="002D4FFF"/>
    <w:rsid w:val="002D6493"/>
    <w:rsid w:val="002D7AB6"/>
    <w:rsid w:val="002E06D0"/>
    <w:rsid w:val="002E335B"/>
    <w:rsid w:val="002E3C27"/>
    <w:rsid w:val="002E403A"/>
    <w:rsid w:val="002E50B3"/>
    <w:rsid w:val="002E7F3A"/>
    <w:rsid w:val="002F45DB"/>
    <w:rsid w:val="002F4EDB"/>
    <w:rsid w:val="002F6054"/>
    <w:rsid w:val="00304DDB"/>
    <w:rsid w:val="00305F41"/>
    <w:rsid w:val="00306169"/>
    <w:rsid w:val="00310E13"/>
    <w:rsid w:val="00313DD4"/>
    <w:rsid w:val="00315713"/>
    <w:rsid w:val="0031686C"/>
    <w:rsid w:val="00316FE0"/>
    <w:rsid w:val="003204D2"/>
    <w:rsid w:val="00322D0B"/>
    <w:rsid w:val="0032605E"/>
    <w:rsid w:val="003275D1"/>
    <w:rsid w:val="00330B2A"/>
    <w:rsid w:val="00331E17"/>
    <w:rsid w:val="00333063"/>
    <w:rsid w:val="003355D7"/>
    <w:rsid w:val="00336318"/>
    <w:rsid w:val="003408E3"/>
    <w:rsid w:val="00343480"/>
    <w:rsid w:val="00343DC7"/>
    <w:rsid w:val="0034467D"/>
    <w:rsid w:val="00344BD1"/>
    <w:rsid w:val="00345E89"/>
    <w:rsid w:val="003522A1"/>
    <w:rsid w:val="0035254B"/>
    <w:rsid w:val="00353555"/>
    <w:rsid w:val="003565D4"/>
    <w:rsid w:val="003607FB"/>
    <w:rsid w:val="00360FD5"/>
    <w:rsid w:val="0036340D"/>
    <w:rsid w:val="003634A5"/>
    <w:rsid w:val="00366868"/>
    <w:rsid w:val="00367506"/>
    <w:rsid w:val="00370085"/>
    <w:rsid w:val="003744A7"/>
    <w:rsid w:val="00374A25"/>
    <w:rsid w:val="00376235"/>
    <w:rsid w:val="00381DC2"/>
    <w:rsid w:val="00381FB6"/>
    <w:rsid w:val="00382706"/>
    <w:rsid w:val="00382CC2"/>
    <w:rsid w:val="003836D3"/>
    <w:rsid w:val="00383A52"/>
    <w:rsid w:val="0038593A"/>
    <w:rsid w:val="00386716"/>
    <w:rsid w:val="00391652"/>
    <w:rsid w:val="0039507F"/>
    <w:rsid w:val="003A1260"/>
    <w:rsid w:val="003A295F"/>
    <w:rsid w:val="003A41DD"/>
    <w:rsid w:val="003A7033"/>
    <w:rsid w:val="003B2ADA"/>
    <w:rsid w:val="003B47FE"/>
    <w:rsid w:val="003B5673"/>
    <w:rsid w:val="003B6287"/>
    <w:rsid w:val="003B62C9"/>
    <w:rsid w:val="003B6484"/>
    <w:rsid w:val="003C51ED"/>
    <w:rsid w:val="003C7176"/>
    <w:rsid w:val="003D0929"/>
    <w:rsid w:val="003D3FD2"/>
    <w:rsid w:val="003D4729"/>
    <w:rsid w:val="003D7B5E"/>
    <w:rsid w:val="003D7DD6"/>
    <w:rsid w:val="003E0A1A"/>
    <w:rsid w:val="003E5AAF"/>
    <w:rsid w:val="003E600D"/>
    <w:rsid w:val="003E64DF"/>
    <w:rsid w:val="003E6A5D"/>
    <w:rsid w:val="003F193A"/>
    <w:rsid w:val="003F4207"/>
    <w:rsid w:val="003F5C46"/>
    <w:rsid w:val="003F7CBB"/>
    <w:rsid w:val="003F7D34"/>
    <w:rsid w:val="0040094B"/>
    <w:rsid w:val="00404603"/>
    <w:rsid w:val="0041042E"/>
    <w:rsid w:val="00412C8E"/>
    <w:rsid w:val="0041388F"/>
    <w:rsid w:val="0041518D"/>
    <w:rsid w:val="0041612B"/>
    <w:rsid w:val="0042221D"/>
    <w:rsid w:val="00423F27"/>
    <w:rsid w:val="00424DD3"/>
    <w:rsid w:val="004269C5"/>
    <w:rsid w:val="00435939"/>
    <w:rsid w:val="00437CC7"/>
    <w:rsid w:val="00441FE5"/>
    <w:rsid w:val="00442B9C"/>
    <w:rsid w:val="00445EFA"/>
    <w:rsid w:val="0044738A"/>
    <w:rsid w:val="004473D3"/>
    <w:rsid w:val="00451AB8"/>
    <w:rsid w:val="00452231"/>
    <w:rsid w:val="004537CB"/>
    <w:rsid w:val="00454905"/>
    <w:rsid w:val="0045547B"/>
    <w:rsid w:val="00460C13"/>
    <w:rsid w:val="004630BE"/>
    <w:rsid w:val="00463228"/>
    <w:rsid w:val="00463782"/>
    <w:rsid w:val="004667E0"/>
    <w:rsid w:val="0046760E"/>
    <w:rsid w:val="00470E10"/>
    <w:rsid w:val="00477A97"/>
    <w:rsid w:val="00481343"/>
    <w:rsid w:val="004814BC"/>
    <w:rsid w:val="0048549E"/>
    <w:rsid w:val="00487C2F"/>
    <w:rsid w:val="004930C6"/>
    <w:rsid w:val="00493347"/>
    <w:rsid w:val="00496092"/>
    <w:rsid w:val="004A08DB"/>
    <w:rsid w:val="004A25D0"/>
    <w:rsid w:val="004A2BB3"/>
    <w:rsid w:val="004A37E8"/>
    <w:rsid w:val="004A7549"/>
    <w:rsid w:val="004B09D4"/>
    <w:rsid w:val="004B1207"/>
    <w:rsid w:val="004B288B"/>
    <w:rsid w:val="004B309D"/>
    <w:rsid w:val="004B330A"/>
    <w:rsid w:val="004B3B40"/>
    <w:rsid w:val="004B7C8E"/>
    <w:rsid w:val="004C3D3C"/>
    <w:rsid w:val="004D0EDC"/>
    <w:rsid w:val="004D1220"/>
    <w:rsid w:val="004D14B3"/>
    <w:rsid w:val="004D1529"/>
    <w:rsid w:val="004D2253"/>
    <w:rsid w:val="004D5514"/>
    <w:rsid w:val="004D56C3"/>
    <w:rsid w:val="004D7A77"/>
    <w:rsid w:val="004D7F7F"/>
    <w:rsid w:val="004E0338"/>
    <w:rsid w:val="004E4FF3"/>
    <w:rsid w:val="004E56A8"/>
    <w:rsid w:val="004F3B55"/>
    <w:rsid w:val="004F428E"/>
    <w:rsid w:val="004F4E46"/>
    <w:rsid w:val="004F6B7D"/>
    <w:rsid w:val="005015F6"/>
    <w:rsid w:val="005030C4"/>
    <w:rsid w:val="005031C5"/>
    <w:rsid w:val="00504FDC"/>
    <w:rsid w:val="00505AF0"/>
    <w:rsid w:val="005120CC"/>
    <w:rsid w:val="00512B7B"/>
    <w:rsid w:val="00514EA1"/>
    <w:rsid w:val="0051798B"/>
    <w:rsid w:val="00521F5A"/>
    <w:rsid w:val="005234E7"/>
    <w:rsid w:val="00525E06"/>
    <w:rsid w:val="00526454"/>
    <w:rsid w:val="0052660A"/>
    <w:rsid w:val="00530745"/>
    <w:rsid w:val="00531823"/>
    <w:rsid w:val="005334BB"/>
    <w:rsid w:val="00534ECC"/>
    <w:rsid w:val="0053720D"/>
    <w:rsid w:val="00540EF5"/>
    <w:rsid w:val="00541BF3"/>
    <w:rsid w:val="00541CD3"/>
    <w:rsid w:val="005434DF"/>
    <w:rsid w:val="005476FA"/>
    <w:rsid w:val="0055595E"/>
    <w:rsid w:val="005574E1"/>
    <w:rsid w:val="00557988"/>
    <w:rsid w:val="00562C49"/>
    <w:rsid w:val="00562DEF"/>
    <w:rsid w:val="0056321A"/>
    <w:rsid w:val="00563A35"/>
    <w:rsid w:val="00566596"/>
    <w:rsid w:val="005741E9"/>
    <w:rsid w:val="00574451"/>
    <w:rsid w:val="005748CF"/>
    <w:rsid w:val="00580DE8"/>
    <w:rsid w:val="00582AF0"/>
    <w:rsid w:val="00584270"/>
    <w:rsid w:val="00584738"/>
    <w:rsid w:val="005876C6"/>
    <w:rsid w:val="005920B0"/>
    <w:rsid w:val="0059380D"/>
    <w:rsid w:val="0059413E"/>
    <w:rsid w:val="0059427E"/>
    <w:rsid w:val="005947FB"/>
    <w:rsid w:val="00595A8F"/>
    <w:rsid w:val="005977C2"/>
    <w:rsid w:val="00597BF2"/>
    <w:rsid w:val="005A1F54"/>
    <w:rsid w:val="005A3020"/>
    <w:rsid w:val="005B0FB8"/>
    <w:rsid w:val="005B134E"/>
    <w:rsid w:val="005B2039"/>
    <w:rsid w:val="005B344F"/>
    <w:rsid w:val="005B3FBA"/>
    <w:rsid w:val="005B4A1D"/>
    <w:rsid w:val="005B639D"/>
    <w:rsid w:val="005B674D"/>
    <w:rsid w:val="005B6780"/>
    <w:rsid w:val="005C056D"/>
    <w:rsid w:val="005C0CBE"/>
    <w:rsid w:val="005C1FCF"/>
    <w:rsid w:val="005C3D39"/>
    <w:rsid w:val="005C3F41"/>
    <w:rsid w:val="005D0D8D"/>
    <w:rsid w:val="005D1885"/>
    <w:rsid w:val="005D2DBD"/>
    <w:rsid w:val="005D4A38"/>
    <w:rsid w:val="005E18A0"/>
    <w:rsid w:val="005E2CAA"/>
    <w:rsid w:val="005E2EEA"/>
    <w:rsid w:val="005E3708"/>
    <w:rsid w:val="005E3CCD"/>
    <w:rsid w:val="005E3D6B"/>
    <w:rsid w:val="005E5B55"/>
    <w:rsid w:val="005E5E4A"/>
    <w:rsid w:val="005E693D"/>
    <w:rsid w:val="005E75BF"/>
    <w:rsid w:val="005F57BA"/>
    <w:rsid w:val="005F61E6"/>
    <w:rsid w:val="005F6C45"/>
    <w:rsid w:val="00605A69"/>
    <w:rsid w:val="00606C54"/>
    <w:rsid w:val="00612024"/>
    <w:rsid w:val="00614375"/>
    <w:rsid w:val="00615B0A"/>
    <w:rsid w:val="006168CF"/>
    <w:rsid w:val="0062011B"/>
    <w:rsid w:val="00621263"/>
    <w:rsid w:val="006249CC"/>
    <w:rsid w:val="00626DE0"/>
    <w:rsid w:val="00626E43"/>
    <w:rsid w:val="00630901"/>
    <w:rsid w:val="00631F8E"/>
    <w:rsid w:val="00636EE9"/>
    <w:rsid w:val="00640950"/>
    <w:rsid w:val="00641AE7"/>
    <w:rsid w:val="00642629"/>
    <w:rsid w:val="00642ECB"/>
    <w:rsid w:val="0064782B"/>
    <w:rsid w:val="0065293D"/>
    <w:rsid w:val="0065391C"/>
    <w:rsid w:val="00653EFC"/>
    <w:rsid w:val="00654021"/>
    <w:rsid w:val="00661045"/>
    <w:rsid w:val="00666DA8"/>
    <w:rsid w:val="00671057"/>
    <w:rsid w:val="00675AAF"/>
    <w:rsid w:val="0068031A"/>
    <w:rsid w:val="00681B2F"/>
    <w:rsid w:val="0068335F"/>
    <w:rsid w:val="00684F63"/>
    <w:rsid w:val="00687217"/>
    <w:rsid w:val="00693302"/>
    <w:rsid w:val="00695C8C"/>
    <w:rsid w:val="0069640B"/>
    <w:rsid w:val="006A1B83"/>
    <w:rsid w:val="006A21CD"/>
    <w:rsid w:val="006A5918"/>
    <w:rsid w:val="006B21B2"/>
    <w:rsid w:val="006B47E3"/>
    <w:rsid w:val="006B4A4A"/>
    <w:rsid w:val="006C16E5"/>
    <w:rsid w:val="006C19B2"/>
    <w:rsid w:val="006C4409"/>
    <w:rsid w:val="006C5BB8"/>
    <w:rsid w:val="006C6936"/>
    <w:rsid w:val="006C7B01"/>
    <w:rsid w:val="006D0FE8"/>
    <w:rsid w:val="006D4B2B"/>
    <w:rsid w:val="006D4F3C"/>
    <w:rsid w:val="006D5C66"/>
    <w:rsid w:val="006D7002"/>
    <w:rsid w:val="006E1B3C"/>
    <w:rsid w:val="006E23FB"/>
    <w:rsid w:val="006E325A"/>
    <w:rsid w:val="006E33EC"/>
    <w:rsid w:val="006E3802"/>
    <w:rsid w:val="006E620B"/>
    <w:rsid w:val="006E6C02"/>
    <w:rsid w:val="006F231A"/>
    <w:rsid w:val="006F316E"/>
    <w:rsid w:val="006F3A63"/>
    <w:rsid w:val="006F6B55"/>
    <w:rsid w:val="006F788D"/>
    <w:rsid w:val="006F78E1"/>
    <w:rsid w:val="007007A2"/>
    <w:rsid w:val="00701072"/>
    <w:rsid w:val="00701343"/>
    <w:rsid w:val="00702054"/>
    <w:rsid w:val="007035A4"/>
    <w:rsid w:val="007067B0"/>
    <w:rsid w:val="00711799"/>
    <w:rsid w:val="00712B78"/>
    <w:rsid w:val="0071393B"/>
    <w:rsid w:val="00713DD9"/>
    <w:rsid w:val="00713EE2"/>
    <w:rsid w:val="007177FC"/>
    <w:rsid w:val="00720C5E"/>
    <w:rsid w:val="00721701"/>
    <w:rsid w:val="00727A8E"/>
    <w:rsid w:val="00731835"/>
    <w:rsid w:val="00733019"/>
    <w:rsid w:val="007341F8"/>
    <w:rsid w:val="00734372"/>
    <w:rsid w:val="007343A7"/>
    <w:rsid w:val="00734EB8"/>
    <w:rsid w:val="00735F8B"/>
    <w:rsid w:val="0074090B"/>
    <w:rsid w:val="00742D1F"/>
    <w:rsid w:val="00743EBA"/>
    <w:rsid w:val="00744C8E"/>
    <w:rsid w:val="0074707E"/>
    <w:rsid w:val="007516DC"/>
    <w:rsid w:val="00752E58"/>
    <w:rsid w:val="00754B80"/>
    <w:rsid w:val="00755056"/>
    <w:rsid w:val="00757657"/>
    <w:rsid w:val="00761918"/>
    <w:rsid w:val="00762F03"/>
    <w:rsid w:val="0076413B"/>
    <w:rsid w:val="007648AE"/>
    <w:rsid w:val="00764BF8"/>
    <w:rsid w:val="0076514D"/>
    <w:rsid w:val="00773D59"/>
    <w:rsid w:val="007762D7"/>
    <w:rsid w:val="0077650E"/>
    <w:rsid w:val="00781003"/>
    <w:rsid w:val="007911FD"/>
    <w:rsid w:val="0079160A"/>
    <w:rsid w:val="00792792"/>
    <w:rsid w:val="00793930"/>
    <w:rsid w:val="00793DD1"/>
    <w:rsid w:val="00794FEC"/>
    <w:rsid w:val="00796B8F"/>
    <w:rsid w:val="007A003E"/>
    <w:rsid w:val="007A142D"/>
    <w:rsid w:val="007A1965"/>
    <w:rsid w:val="007A2ED1"/>
    <w:rsid w:val="007A494C"/>
    <w:rsid w:val="007A4BE6"/>
    <w:rsid w:val="007B018D"/>
    <w:rsid w:val="007B0DC6"/>
    <w:rsid w:val="007B1094"/>
    <w:rsid w:val="007B1762"/>
    <w:rsid w:val="007B2B88"/>
    <w:rsid w:val="007B3320"/>
    <w:rsid w:val="007B6C50"/>
    <w:rsid w:val="007C0255"/>
    <w:rsid w:val="007C301F"/>
    <w:rsid w:val="007C4540"/>
    <w:rsid w:val="007C65AF"/>
    <w:rsid w:val="007C65B6"/>
    <w:rsid w:val="007D135D"/>
    <w:rsid w:val="007D5BCD"/>
    <w:rsid w:val="007D730F"/>
    <w:rsid w:val="007D7CD8"/>
    <w:rsid w:val="007E2A7C"/>
    <w:rsid w:val="007E3AA7"/>
    <w:rsid w:val="007F1708"/>
    <w:rsid w:val="007F61FD"/>
    <w:rsid w:val="007F737D"/>
    <w:rsid w:val="00803018"/>
    <w:rsid w:val="0080308E"/>
    <w:rsid w:val="00805303"/>
    <w:rsid w:val="00806705"/>
    <w:rsid w:val="00806738"/>
    <w:rsid w:val="0081322B"/>
    <w:rsid w:val="008216D5"/>
    <w:rsid w:val="008249CE"/>
    <w:rsid w:val="00831A50"/>
    <w:rsid w:val="00831B3C"/>
    <w:rsid w:val="00831C89"/>
    <w:rsid w:val="00832114"/>
    <w:rsid w:val="008322B8"/>
    <w:rsid w:val="00834C46"/>
    <w:rsid w:val="0084093E"/>
    <w:rsid w:val="00841CE1"/>
    <w:rsid w:val="008427EF"/>
    <w:rsid w:val="008450CC"/>
    <w:rsid w:val="00845BFD"/>
    <w:rsid w:val="008473D8"/>
    <w:rsid w:val="008476CF"/>
    <w:rsid w:val="008528DC"/>
    <w:rsid w:val="00852B8C"/>
    <w:rsid w:val="00854981"/>
    <w:rsid w:val="00856F0D"/>
    <w:rsid w:val="00864B2E"/>
    <w:rsid w:val="00865963"/>
    <w:rsid w:val="00871C1D"/>
    <w:rsid w:val="0087450E"/>
    <w:rsid w:val="00875A82"/>
    <w:rsid w:val="00876CA3"/>
    <w:rsid w:val="008772FE"/>
    <w:rsid w:val="008775F1"/>
    <w:rsid w:val="008821AE"/>
    <w:rsid w:val="00883D3A"/>
    <w:rsid w:val="008854F7"/>
    <w:rsid w:val="00885A9D"/>
    <w:rsid w:val="008929D2"/>
    <w:rsid w:val="00893636"/>
    <w:rsid w:val="00893B94"/>
    <w:rsid w:val="00894DAB"/>
    <w:rsid w:val="00896415"/>
    <w:rsid w:val="00896E9D"/>
    <w:rsid w:val="00896F11"/>
    <w:rsid w:val="008A1049"/>
    <w:rsid w:val="008A1C98"/>
    <w:rsid w:val="008A322D"/>
    <w:rsid w:val="008A4D72"/>
    <w:rsid w:val="008A6285"/>
    <w:rsid w:val="008A63B2"/>
    <w:rsid w:val="008A7D0D"/>
    <w:rsid w:val="008B2EDE"/>
    <w:rsid w:val="008B345D"/>
    <w:rsid w:val="008C1FC2"/>
    <w:rsid w:val="008C2980"/>
    <w:rsid w:val="008C4DD6"/>
    <w:rsid w:val="008C5AFB"/>
    <w:rsid w:val="008D07FB"/>
    <w:rsid w:val="008D0C02"/>
    <w:rsid w:val="008D357D"/>
    <w:rsid w:val="008D435A"/>
    <w:rsid w:val="008E387B"/>
    <w:rsid w:val="008E6087"/>
    <w:rsid w:val="008E66B0"/>
    <w:rsid w:val="008E758D"/>
    <w:rsid w:val="008F10A7"/>
    <w:rsid w:val="008F755D"/>
    <w:rsid w:val="008F7A39"/>
    <w:rsid w:val="00900824"/>
    <w:rsid w:val="009021E8"/>
    <w:rsid w:val="00904677"/>
    <w:rsid w:val="00905EE2"/>
    <w:rsid w:val="00907F7C"/>
    <w:rsid w:val="00911440"/>
    <w:rsid w:val="00911712"/>
    <w:rsid w:val="0091190A"/>
    <w:rsid w:val="00911B27"/>
    <w:rsid w:val="009170BE"/>
    <w:rsid w:val="00920B55"/>
    <w:rsid w:val="009261A8"/>
    <w:rsid w:val="009262C9"/>
    <w:rsid w:val="00930EB9"/>
    <w:rsid w:val="0093274B"/>
    <w:rsid w:val="00933DC7"/>
    <w:rsid w:val="009418F4"/>
    <w:rsid w:val="00942BBC"/>
    <w:rsid w:val="00942DC6"/>
    <w:rsid w:val="00943353"/>
    <w:rsid w:val="00944180"/>
    <w:rsid w:val="00944AA0"/>
    <w:rsid w:val="0094714F"/>
    <w:rsid w:val="00947DA2"/>
    <w:rsid w:val="0095103C"/>
    <w:rsid w:val="00951177"/>
    <w:rsid w:val="00957726"/>
    <w:rsid w:val="00961329"/>
    <w:rsid w:val="00961E3F"/>
    <w:rsid w:val="009673E8"/>
    <w:rsid w:val="00974AC3"/>
    <w:rsid w:val="00974DB8"/>
    <w:rsid w:val="00980661"/>
    <w:rsid w:val="0098093B"/>
    <w:rsid w:val="0098170B"/>
    <w:rsid w:val="009876D4"/>
    <w:rsid w:val="009914A5"/>
    <w:rsid w:val="0099548E"/>
    <w:rsid w:val="00996456"/>
    <w:rsid w:val="009965BE"/>
    <w:rsid w:val="00996A12"/>
    <w:rsid w:val="00997B0F"/>
    <w:rsid w:val="009A0878"/>
    <w:rsid w:val="009A0CC3"/>
    <w:rsid w:val="009A1ABD"/>
    <w:rsid w:val="009A1CAD"/>
    <w:rsid w:val="009A2D43"/>
    <w:rsid w:val="009A3440"/>
    <w:rsid w:val="009A532D"/>
    <w:rsid w:val="009A5832"/>
    <w:rsid w:val="009A6838"/>
    <w:rsid w:val="009B0996"/>
    <w:rsid w:val="009B24B5"/>
    <w:rsid w:val="009B410B"/>
    <w:rsid w:val="009B4EBC"/>
    <w:rsid w:val="009B5ABB"/>
    <w:rsid w:val="009B73CE"/>
    <w:rsid w:val="009C2461"/>
    <w:rsid w:val="009C5A15"/>
    <w:rsid w:val="009C6FE2"/>
    <w:rsid w:val="009C7674"/>
    <w:rsid w:val="009D004A"/>
    <w:rsid w:val="009D3B0D"/>
    <w:rsid w:val="009D5880"/>
    <w:rsid w:val="009E1FD4"/>
    <w:rsid w:val="009E2333"/>
    <w:rsid w:val="009E2BB8"/>
    <w:rsid w:val="009E3B07"/>
    <w:rsid w:val="009E51D1"/>
    <w:rsid w:val="009E5531"/>
    <w:rsid w:val="009E688E"/>
    <w:rsid w:val="009E6D22"/>
    <w:rsid w:val="009E703D"/>
    <w:rsid w:val="009F171E"/>
    <w:rsid w:val="009F3D2F"/>
    <w:rsid w:val="009F7052"/>
    <w:rsid w:val="00A02668"/>
    <w:rsid w:val="00A02801"/>
    <w:rsid w:val="00A035FF"/>
    <w:rsid w:val="00A06A39"/>
    <w:rsid w:val="00A07F58"/>
    <w:rsid w:val="00A131CB"/>
    <w:rsid w:val="00A14847"/>
    <w:rsid w:val="00A16539"/>
    <w:rsid w:val="00A16D2D"/>
    <w:rsid w:val="00A16D6D"/>
    <w:rsid w:val="00A21383"/>
    <w:rsid w:val="00A2199F"/>
    <w:rsid w:val="00A21B31"/>
    <w:rsid w:val="00A2360E"/>
    <w:rsid w:val="00A26E0C"/>
    <w:rsid w:val="00A32FCB"/>
    <w:rsid w:val="00A33D6F"/>
    <w:rsid w:val="00A34C25"/>
    <w:rsid w:val="00A3507D"/>
    <w:rsid w:val="00A3717A"/>
    <w:rsid w:val="00A4088C"/>
    <w:rsid w:val="00A4456B"/>
    <w:rsid w:val="00A448D4"/>
    <w:rsid w:val="00A452E0"/>
    <w:rsid w:val="00A4571E"/>
    <w:rsid w:val="00A506DF"/>
    <w:rsid w:val="00A51EA5"/>
    <w:rsid w:val="00A52C14"/>
    <w:rsid w:val="00A53108"/>
    <w:rsid w:val="00A53742"/>
    <w:rsid w:val="00A557A1"/>
    <w:rsid w:val="00A5733B"/>
    <w:rsid w:val="00A60F1B"/>
    <w:rsid w:val="00A63059"/>
    <w:rsid w:val="00A63AE3"/>
    <w:rsid w:val="00A651A4"/>
    <w:rsid w:val="00A71361"/>
    <w:rsid w:val="00A71809"/>
    <w:rsid w:val="00A746E2"/>
    <w:rsid w:val="00A81FF2"/>
    <w:rsid w:val="00A82080"/>
    <w:rsid w:val="00A82C6D"/>
    <w:rsid w:val="00A83904"/>
    <w:rsid w:val="00A862D0"/>
    <w:rsid w:val="00A86C75"/>
    <w:rsid w:val="00A909BB"/>
    <w:rsid w:val="00A90A79"/>
    <w:rsid w:val="00A96B30"/>
    <w:rsid w:val="00A96F7D"/>
    <w:rsid w:val="00AA442D"/>
    <w:rsid w:val="00AA59B5"/>
    <w:rsid w:val="00AA7777"/>
    <w:rsid w:val="00AA7B84"/>
    <w:rsid w:val="00AB5B6B"/>
    <w:rsid w:val="00AB6FF5"/>
    <w:rsid w:val="00AC0B4C"/>
    <w:rsid w:val="00AC1164"/>
    <w:rsid w:val="00AC15DC"/>
    <w:rsid w:val="00AC2296"/>
    <w:rsid w:val="00AC2754"/>
    <w:rsid w:val="00AC2D28"/>
    <w:rsid w:val="00AC48B0"/>
    <w:rsid w:val="00AC4ACD"/>
    <w:rsid w:val="00AC5DFB"/>
    <w:rsid w:val="00AC79DF"/>
    <w:rsid w:val="00AD13DC"/>
    <w:rsid w:val="00AD1C5F"/>
    <w:rsid w:val="00AD40FA"/>
    <w:rsid w:val="00AD6DE2"/>
    <w:rsid w:val="00AE0A40"/>
    <w:rsid w:val="00AE1ED4"/>
    <w:rsid w:val="00AE21E1"/>
    <w:rsid w:val="00AE2F8D"/>
    <w:rsid w:val="00AE3BAE"/>
    <w:rsid w:val="00AE6A21"/>
    <w:rsid w:val="00AE7760"/>
    <w:rsid w:val="00AF1C8F"/>
    <w:rsid w:val="00AF2B68"/>
    <w:rsid w:val="00AF2C92"/>
    <w:rsid w:val="00AF3EC1"/>
    <w:rsid w:val="00AF5025"/>
    <w:rsid w:val="00AF519F"/>
    <w:rsid w:val="00AF51EB"/>
    <w:rsid w:val="00AF5387"/>
    <w:rsid w:val="00AF55F5"/>
    <w:rsid w:val="00AF7E86"/>
    <w:rsid w:val="00B01390"/>
    <w:rsid w:val="00B024B9"/>
    <w:rsid w:val="00B077FA"/>
    <w:rsid w:val="00B127D7"/>
    <w:rsid w:val="00B13B0C"/>
    <w:rsid w:val="00B14408"/>
    <w:rsid w:val="00B1453A"/>
    <w:rsid w:val="00B15BE5"/>
    <w:rsid w:val="00B20F82"/>
    <w:rsid w:val="00B22839"/>
    <w:rsid w:val="00B25BD5"/>
    <w:rsid w:val="00B322C1"/>
    <w:rsid w:val="00B34079"/>
    <w:rsid w:val="00B3793A"/>
    <w:rsid w:val="00B401BA"/>
    <w:rsid w:val="00B407E4"/>
    <w:rsid w:val="00B425B6"/>
    <w:rsid w:val="00B42A72"/>
    <w:rsid w:val="00B441AE"/>
    <w:rsid w:val="00B45A65"/>
    <w:rsid w:val="00B45F33"/>
    <w:rsid w:val="00B46D50"/>
    <w:rsid w:val="00B53170"/>
    <w:rsid w:val="00B548B9"/>
    <w:rsid w:val="00B56DBE"/>
    <w:rsid w:val="00B572C5"/>
    <w:rsid w:val="00B60D7E"/>
    <w:rsid w:val="00B62999"/>
    <w:rsid w:val="00B63BE3"/>
    <w:rsid w:val="00B64885"/>
    <w:rsid w:val="00B64FA3"/>
    <w:rsid w:val="00B66810"/>
    <w:rsid w:val="00B72BE3"/>
    <w:rsid w:val="00B73B80"/>
    <w:rsid w:val="00B75FFF"/>
    <w:rsid w:val="00B76240"/>
    <w:rsid w:val="00B770C7"/>
    <w:rsid w:val="00B77306"/>
    <w:rsid w:val="00B80F26"/>
    <w:rsid w:val="00B822BD"/>
    <w:rsid w:val="00B842F4"/>
    <w:rsid w:val="00B864A8"/>
    <w:rsid w:val="00B91A7B"/>
    <w:rsid w:val="00B929DD"/>
    <w:rsid w:val="00B93AF6"/>
    <w:rsid w:val="00B94626"/>
    <w:rsid w:val="00B95405"/>
    <w:rsid w:val="00B95855"/>
    <w:rsid w:val="00B963F1"/>
    <w:rsid w:val="00BA020A"/>
    <w:rsid w:val="00BB025A"/>
    <w:rsid w:val="00BB02A4"/>
    <w:rsid w:val="00BB1270"/>
    <w:rsid w:val="00BB1E44"/>
    <w:rsid w:val="00BB5267"/>
    <w:rsid w:val="00BB52B8"/>
    <w:rsid w:val="00BB59D8"/>
    <w:rsid w:val="00BB7E69"/>
    <w:rsid w:val="00BC0E51"/>
    <w:rsid w:val="00BC3C1F"/>
    <w:rsid w:val="00BC7CE7"/>
    <w:rsid w:val="00BD295E"/>
    <w:rsid w:val="00BD3124"/>
    <w:rsid w:val="00BD4664"/>
    <w:rsid w:val="00BE1193"/>
    <w:rsid w:val="00BE681C"/>
    <w:rsid w:val="00BF2B6A"/>
    <w:rsid w:val="00BF4849"/>
    <w:rsid w:val="00BF4EA7"/>
    <w:rsid w:val="00BF6525"/>
    <w:rsid w:val="00C00EDB"/>
    <w:rsid w:val="00C02863"/>
    <w:rsid w:val="00C0383A"/>
    <w:rsid w:val="00C067FF"/>
    <w:rsid w:val="00C07A1D"/>
    <w:rsid w:val="00C12862"/>
    <w:rsid w:val="00C13D28"/>
    <w:rsid w:val="00C14585"/>
    <w:rsid w:val="00C165A0"/>
    <w:rsid w:val="00C20511"/>
    <w:rsid w:val="00C216CE"/>
    <w:rsid w:val="00C2184F"/>
    <w:rsid w:val="00C21D25"/>
    <w:rsid w:val="00C22A78"/>
    <w:rsid w:val="00C23C7E"/>
    <w:rsid w:val="00C246C5"/>
    <w:rsid w:val="00C25A82"/>
    <w:rsid w:val="00C30A2A"/>
    <w:rsid w:val="00C3172B"/>
    <w:rsid w:val="00C31F19"/>
    <w:rsid w:val="00C33993"/>
    <w:rsid w:val="00C34622"/>
    <w:rsid w:val="00C35439"/>
    <w:rsid w:val="00C4069E"/>
    <w:rsid w:val="00C41ADC"/>
    <w:rsid w:val="00C44149"/>
    <w:rsid w:val="00C44410"/>
    <w:rsid w:val="00C448C4"/>
    <w:rsid w:val="00C44A15"/>
    <w:rsid w:val="00C4630A"/>
    <w:rsid w:val="00C5005C"/>
    <w:rsid w:val="00C523F0"/>
    <w:rsid w:val="00C526D2"/>
    <w:rsid w:val="00C53A91"/>
    <w:rsid w:val="00C55884"/>
    <w:rsid w:val="00C5794E"/>
    <w:rsid w:val="00C60968"/>
    <w:rsid w:val="00C63D39"/>
    <w:rsid w:val="00C63EDD"/>
    <w:rsid w:val="00C64746"/>
    <w:rsid w:val="00C65B36"/>
    <w:rsid w:val="00C70D55"/>
    <w:rsid w:val="00C7292E"/>
    <w:rsid w:val="00C74E88"/>
    <w:rsid w:val="00C80924"/>
    <w:rsid w:val="00C8286B"/>
    <w:rsid w:val="00C83480"/>
    <w:rsid w:val="00C8463B"/>
    <w:rsid w:val="00C947F8"/>
    <w:rsid w:val="00C9515F"/>
    <w:rsid w:val="00C963C5"/>
    <w:rsid w:val="00CA030C"/>
    <w:rsid w:val="00CA1F41"/>
    <w:rsid w:val="00CA32EE"/>
    <w:rsid w:val="00CA4643"/>
    <w:rsid w:val="00CA5771"/>
    <w:rsid w:val="00CA6A1A"/>
    <w:rsid w:val="00CC0BF2"/>
    <w:rsid w:val="00CC1E75"/>
    <w:rsid w:val="00CC1F49"/>
    <w:rsid w:val="00CC251B"/>
    <w:rsid w:val="00CC2E0E"/>
    <w:rsid w:val="00CC33B4"/>
    <w:rsid w:val="00CC361C"/>
    <w:rsid w:val="00CC474B"/>
    <w:rsid w:val="00CC658C"/>
    <w:rsid w:val="00CC67BF"/>
    <w:rsid w:val="00CC6A39"/>
    <w:rsid w:val="00CC6B92"/>
    <w:rsid w:val="00CD0843"/>
    <w:rsid w:val="00CD1109"/>
    <w:rsid w:val="00CD4E31"/>
    <w:rsid w:val="00CD5524"/>
    <w:rsid w:val="00CD5A78"/>
    <w:rsid w:val="00CD7345"/>
    <w:rsid w:val="00CE372E"/>
    <w:rsid w:val="00CE7C5B"/>
    <w:rsid w:val="00CF03D2"/>
    <w:rsid w:val="00CF0A1B"/>
    <w:rsid w:val="00CF19F6"/>
    <w:rsid w:val="00CF1A64"/>
    <w:rsid w:val="00CF2F4F"/>
    <w:rsid w:val="00CF42AB"/>
    <w:rsid w:val="00CF471A"/>
    <w:rsid w:val="00CF536D"/>
    <w:rsid w:val="00CF7F9E"/>
    <w:rsid w:val="00D02E9D"/>
    <w:rsid w:val="00D10CB8"/>
    <w:rsid w:val="00D12806"/>
    <w:rsid w:val="00D12D44"/>
    <w:rsid w:val="00D15018"/>
    <w:rsid w:val="00D158AC"/>
    <w:rsid w:val="00D1694C"/>
    <w:rsid w:val="00D20F5E"/>
    <w:rsid w:val="00D233C4"/>
    <w:rsid w:val="00D23B76"/>
    <w:rsid w:val="00D24B4A"/>
    <w:rsid w:val="00D30EE2"/>
    <w:rsid w:val="00D31354"/>
    <w:rsid w:val="00D36F92"/>
    <w:rsid w:val="00D379A3"/>
    <w:rsid w:val="00D42D79"/>
    <w:rsid w:val="00D45FF3"/>
    <w:rsid w:val="00D470F7"/>
    <w:rsid w:val="00D50A77"/>
    <w:rsid w:val="00D512CF"/>
    <w:rsid w:val="00D528B9"/>
    <w:rsid w:val="00D53186"/>
    <w:rsid w:val="00D5487D"/>
    <w:rsid w:val="00D55D18"/>
    <w:rsid w:val="00D60140"/>
    <w:rsid w:val="00D6024A"/>
    <w:rsid w:val="00D608B5"/>
    <w:rsid w:val="00D64739"/>
    <w:rsid w:val="00D71F99"/>
    <w:rsid w:val="00D73CA4"/>
    <w:rsid w:val="00D73D71"/>
    <w:rsid w:val="00D74396"/>
    <w:rsid w:val="00D76890"/>
    <w:rsid w:val="00D77746"/>
    <w:rsid w:val="00D80284"/>
    <w:rsid w:val="00D81F71"/>
    <w:rsid w:val="00D833C9"/>
    <w:rsid w:val="00D8642D"/>
    <w:rsid w:val="00D90700"/>
    <w:rsid w:val="00D90A5E"/>
    <w:rsid w:val="00D91A68"/>
    <w:rsid w:val="00D92279"/>
    <w:rsid w:val="00D93AF6"/>
    <w:rsid w:val="00D95A68"/>
    <w:rsid w:val="00D9741F"/>
    <w:rsid w:val="00DA17C7"/>
    <w:rsid w:val="00DA6A9A"/>
    <w:rsid w:val="00DB1EFD"/>
    <w:rsid w:val="00DB3EAF"/>
    <w:rsid w:val="00DB46C6"/>
    <w:rsid w:val="00DB4FD5"/>
    <w:rsid w:val="00DC2F70"/>
    <w:rsid w:val="00DC3203"/>
    <w:rsid w:val="00DC3C99"/>
    <w:rsid w:val="00DC52F5"/>
    <w:rsid w:val="00DC5FD0"/>
    <w:rsid w:val="00DD0354"/>
    <w:rsid w:val="00DD27D7"/>
    <w:rsid w:val="00DD43AE"/>
    <w:rsid w:val="00DD458C"/>
    <w:rsid w:val="00DD72E9"/>
    <w:rsid w:val="00DD7605"/>
    <w:rsid w:val="00DE1E60"/>
    <w:rsid w:val="00DE2020"/>
    <w:rsid w:val="00DE3476"/>
    <w:rsid w:val="00DE7B3C"/>
    <w:rsid w:val="00DE7BEA"/>
    <w:rsid w:val="00DF5B84"/>
    <w:rsid w:val="00DF6D5B"/>
    <w:rsid w:val="00DF771B"/>
    <w:rsid w:val="00DF7EE2"/>
    <w:rsid w:val="00E0045D"/>
    <w:rsid w:val="00E01BAA"/>
    <w:rsid w:val="00E0282A"/>
    <w:rsid w:val="00E02F9B"/>
    <w:rsid w:val="00E07E14"/>
    <w:rsid w:val="00E14F94"/>
    <w:rsid w:val="00E158D5"/>
    <w:rsid w:val="00E16A39"/>
    <w:rsid w:val="00E17336"/>
    <w:rsid w:val="00E17A30"/>
    <w:rsid w:val="00E17D15"/>
    <w:rsid w:val="00E22B95"/>
    <w:rsid w:val="00E30331"/>
    <w:rsid w:val="00E30BB8"/>
    <w:rsid w:val="00E31F9C"/>
    <w:rsid w:val="00E37999"/>
    <w:rsid w:val="00E40488"/>
    <w:rsid w:val="00E41CC6"/>
    <w:rsid w:val="00E4213A"/>
    <w:rsid w:val="00E46053"/>
    <w:rsid w:val="00E47403"/>
    <w:rsid w:val="00E50367"/>
    <w:rsid w:val="00E51ABA"/>
    <w:rsid w:val="00E524CB"/>
    <w:rsid w:val="00E5416F"/>
    <w:rsid w:val="00E65456"/>
    <w:rsid w:val="00E65A91"/>
    <w:rsid w:val="00E66188"/>
    <w:rsid w:val="00E664FB"/>
    <w:rsid w:val="00E672F0"/>
    <w:rsid w:val="00E70373"/>
    <w:rsid w:val="00E72487"/>
    <w:rsid w:val="00E72E40"/>
    <w:rsid w:val="00E734A9"/>
    <w:rsid w:val="00E73665"/>
    <w:rsid w:val="00E73999"/>
    <w:rsid w:val="00E73BDC"/>
    <w:rsid w:val="00E73E9E"/>
    <w:rsid w:val="00E81660"/>
    <w:rsid w:val="00E8409D"/>
    <w:rsid w:val="00E854FE"/>
    <w:rsid w:val="00E906CC"/>
    <w:rsid w:val="00E92159"/>
    <w:rsid w:val="00E92DC9"/>
    <w:rsid w:val="00E939A0"/>
    <w:rsid w:val="00E969CE"/>
    <w:rsid w:val="00E969E7"/>
    <w:rsid w:val="00E97E4E"/>
    <w:rsid w:val="00EA19F4"/>
    <w:rsid w:val="00EA1CC2"/>
    <w:rsid w:val="00EA2D76"/>
    <w:rsid w:val="00EA4644"/>
    <w:rsid w:val="00EA716B"/>
    <w:rsid w:val="00EA758A"/>
    <w:rsid w:val="00EB096F"/>
    <w:rsid w:val="00EB199F"/>
    <w:rsid w:val="00EB21A4"/>
    <w:rsid w:val="00EB27C4"/>
    <w:rsid w:val="00EB304B"/>
    <w:rsid w:val="00EB5387"/>
    <w:rsid w:val="00EB56FC"/>
    <w:rsid w:val="00EB5C10"/>
    <w:rsid w:val="00EB6742"/>
    <w:rsid w:val="00EB7322"/>
    <w:rsid w:val="00EC0FE9"/>
    <w:rsid w:val="00EC198B"/>
    <w:rsid w:val="00EC2A86"/>
    <w:rsid w:val="00EC426D"/>
    <w:rsid w:val="00EC571B"/>
    <w:rsid w:val="00EC57D7"/>
    <w:rsid w:val="00EC6385"/>
    <w:rsid w:val="00ED0630"/>
    <w:rsid w:val="00ED1DE9"/>
    <w:rsid w:val="00ED23D4"/>
    <w:rsid w:val="00ED3384"/>
    <w:rsid w:val="00ED5E0B"/>
    <w:rsid w:val="00EE37B6"/>
    <w:rsid w:val="00EE62E5"/>
    <w:rsid w:val="00EF0F45"/>
    <w:rsid w:val="00EF3717"/>
    <w:rsid w:val="00EF7463"/>
    <w:rsid w:val="00EF7971"/>
    <w:rsid w:val="00F002EF"/>
    <w:rsid w:val="00F01EE9"/>
    <w:rsid w:val="00F0250C"/>
    <w:rsid w:val="00F04900"/>
    <w:rsid w:val="00F065A4"/>
    <w:rsid w:val="00F126B9"/>
    <w:rsid w:val="00F12715"/>
    <w:rsid w:val="00F144D5"/>
    <w:rsid w:val="00F146F0"/>
    <w:rsid w:val="00F15039"/>
    <w:rsid w:val="00F20FF3"/>
    <w:rsid w:val="00F2190B"/>
    <w:rsid w:val="00F228B5"/>
    <w:rsid w:val="00F22B87"/>
    <w:rsid w:val="00F2389C"/>
    <w:rsid w:val="00F25C67"/>
    <w:rsid w:val="00F268D3"/>
    <w:rsid w:val="00F26E7A"/>
    <w:rsid w:val="00F30DFF"/>
    <w:rsid w:val="00F329F0"/>
    <w:rsid w:val="00F32B80"/>
    <w:rsid w:val="00F340EB"/>
    <w:rsid w:val="00F34AD8"/>
    <w:rsid w:val="00F35285"/>
    <w:rsid w:val="00F43B9D"/>
    <w:rsid w:val="00F44D5E"/>
    <w:rsid w:val="00F53A35"/>
    <w:rsid w:val="00F55A3D"/>
    <w:rsid w:val="00F5744B"/>
    <w:rsid w:val="00F60AE4"/>
    <w:rsid w:val="00F61209"/>
    <w:rsid w:val="00F6259E"/>
    <w:rsid w:val="00F62C97"/>
    <w:rsid w:val="00F65DD4"/>
    <w:rsid w:val="00F672B2"/>
    <w:rsid w:val="00F67A98"/>
    <w:rsid w:val="00F76635"/>
    <w:rsid w:val="00F82A46"/>
    <w:rsid w:val="00F83973"/>
    <w:rsid w:val="00F87116"/>
    <w:rsid w:val="00F87FA3"/>
    <w:rsid w:val="00F93D8C"/>
    <w:rsid w:val="00F97C9E"/>
    <w:rsid w:val="00FA17E0"/>
    <w:rsid w:val="00FA2B79"/>
    <w:rsid w:val="00FA3102"/>
    <w:rsid w:val="00FA48D4"/>
    <w:rsid w:val="00FA54FA"/>
    <w:rsid w:val="00FA68BC"/>
    <w:rsid w:val="00FA6D39"/>
    <w:rsid w:val="00FB227E"/>
    <w:rsid w:val="00FB3D61"/>
    <w:rsid w:val="00FB44CE"/>
    <w:rsid w:val="00FB5009"/>
    <w:rsid w:val="00FB76AB"/>
    <w:rsid w:val="00FD03FE"/>
    <w:rsid w:val="00FD126E"/>
    <w:rsid w:val="00FD3C36"/>
    <w:rsid w:val="00FD4D81"/>
    <w:rsid w:val="00FD4D9E"/>
    <w:rsid w:val="00FD6960"/>
    <w:rsid w:val="00FD7498"/>
    <w:rsid w:val="00FD7951"/>
    <w:rsid w:val="00FD7FB3"/>
    <w:rsid w:val="00FE4713"/>
    <w:rsid w:val="00FE7450"/>
    <w:rsid w:val="00FF1F44"/>
    <w:rsid w:val="00FF225E"/>
    <w:rsid w:val="00FF672C"/>
    <w:rsid w:val="00FF6CE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E45203"/>
  <w14:defaultImageDpi w14:val="330"/>
  <w15:docId w15:val="{C886039C-4B0B-4DB4-8BC1-36A902FF2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uiPriority="9"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096F"/>
    <w:pPr>
      <w:spacing w:line="480" w:lineRule="auto"/>
    </w:pPr>
    <w:rPr>
      <w:sz w:val="24"/>
      <w:szCs w:val="24"/>
    </w:rPr>
  </w:style>
  <w:style w:type="paragraph" w:styleId="Heading1">
    <w:name w:val="heading 1"/>
    <w:basedOn w:val="Normal"/>
    <w:next w:val="Paragraph"/>
    <w:link w:val="Heading1Char"/>
    <w:uiPriority w:val="9"/>
    <w:qFormat/>
    <w:rsid w:val="00AE1ED4"/>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qFormat/>
    <w:rsid w:val="008D07FB"/>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qFormat/>
    <w:rsid w:val="00DF7EE2"/>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rsid w:val="00F43B9D"/>
    <w:pPr>
      <w:spacing w:before="360"/>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title">
    <w:name w:val="Article title"/>
    <w:basedOn w:val="Normal"/>
    <w:next w:val="Normal"/>
    <w:qFormat/>
    <w:rsid w:val="0024692A"/>
    <w:pPr>
      <w:spacing w:after="120" w:line="360" w:lineRule="auto"/>
    </w:pPr>
    <w:rPr>
      <w:b/>
      <w:sz w:val="28"/>
    </w:rPr>
  </w:style>
  <w:style w:type="paragraph" w:customStyle="1" w:styleId="Authornames">
    <w:name w:val="Author names"/>
    <w:basedOn w:val="Normal"/>
    <w:next w:val="Normal"/>
    <w:qFormat/>
    <w:rsid w:val="00F04900"/>
    <w:pPr>
      <w:spacing w:before="240" w:line="360" w:lineRule="auto"/>
    </w:pPr>
    <w:rPr>
      <w:sz w:val="28"/>
    </w:rPr>
  </w:style>
  <w:style w:type="paragraph" w:customStyle="1" w:styleId="Affiliation">
    <w:name w:val="Affiliation"/>
    <w:basedOn w:val="Normal"/>
    <w:qFormat/>
    <w:rsid w:val="00F04900"/>
    <w:pPr>
      <w:spacing w:before="240" w:line="360" w:lineRule="auto"/>
    </w:pPr>
    <w:rPr>
      <w:i/>
    </w:rPr>
  </w:style>
  <w:style w:type="paragraph" w:customStyle="1" w:styleId="Receiveddates">
    <w:name w:val="Received dates"/>
    <w:basedOn w:val="Affiliation"/>
    <w:next w:val="Normal"/>
    <w:qFormat/>
    <w:rsid w:val="00CC474B"/>
  </w:style>
  <w:style w:type="paragraph" w:customStyle="1" w:styleId="Abstract">
    <w:name w:val="Abstract"/>
    <w:basedOn w:val="Normal"/>
    <w:next w:val="Keywords"/>
    <w:qFormat/>
    <w:rsid w:val="00310E13"/>
    <w:pPr>
      <w:spacing w:before="360" w:after="300" w:line="360" w:lineRule="auto"/>
      <w:ind w:left="720" w:right="567"/>
    </w:pPr>
    <w:rPr>
      <w:sz w:val="22"/>
    </w:rPr>
  </w:style>
  <w:style w:type="paragraph" w:customStyle="1" w:styleId="Keywords">
    <w:name w:val="Keywords"/>
    <w:basedOn w:val="Normal"/>
    <w:next w:val="Paragraph"/>
    <w:qFormat/>
    <w:rsid w:val="00BB1270"/>
    <w:pPr>
      <w:spacing w:before="240" w:after="240" w:line="360" w:lineRule="auto"/>
      <w:ind w:left="720" w:right="567"/>
    </w:pPr>
    <w:rPr>
      <w:sz w:val="22"/>
    </w:rPr>
  </w:style>
  <w:style w:type="paragraph" w:customStyle="1" w:styleId="Correspondencedetails">
    <w:name w:val="Correspondence details"/>
    <w:basedOn w:val="Normal"/>
    <w:qFormat/>
    <w:rsid w:val="00F04900"/>
    <w:pPr>
      <w:spacing w:before="240" w:line="360" w:lineRule="auto"/>
    </w:pPr>
  </w:style>
  <w:style w:type="paragraph" w:customStyle="1" w:styleId="Displayedquotation">
    <w:name w:val="Displayed quotation"/>
    <w:basedOn w:val="Normal"/>
    <w:qFormat/>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D80284"/>
    <w:pPr>
      <w:widowControl/>
      <w:numPr>
        <w:numId w:val="24"/>
      </w:numPr>
      <w:spacing w:after="240"/>
      <w:contextualSpacing/>
    </w:pPr>
  </w:style>
  <w:style w:type="paragraph" w:customStyle="1" w:styleId="Displayedequation">
    <w:name w:val="Displayed equation"/>
    <w:basedOn w:val="Normal"/>
    <w:next w:val="Paragraph"/>
    <w:qFormat/>
    <w:rsid w:val="00EF0F45"/>
    <w:pPr>
      <w:tabs>
        <w:tab w:val="center" w:pos="4253"/>
        <w:tab w:val="right" w:pos="8222"/>
      </w:tabs>
      <w:spacing w:before="240" w:after="240"/>
      <w:jc w:val="center"/>
    </w:pPr>
  </w:style>
  <w:style w:type="paragraph" w:customStyle="1" w:styleId="Acknowledgements">
    <w:name w:val="Acknowledgements"/>
    <w:basedOn w:val="Normal"/>
    <w:next w:val="Normal"/>
    <w:qFormat/>
    <w:rsid w:val="00D379A3"/>
    <w:pPr>
      <w:spacing w:before="120" w:line="360" w:lineRule="auto"/>
    </w:pPr>
    <w:rPr>
      <w:sz w:val="22"/>
    </w:rPr>
  </w:style>
  <w:style w:type="paragraph" w:customStyle="1" w:styleId="Tabletitle">
    <w:name w:val="Table title"/>
    <w:basedOn w:val="Normal"/>
    <w:next w:val="Normal"/>
    <w:qFormat/>
    <w:rsid w:val="0031686C"/>
    <w:pPr>
      <w:spacing w:before="240" w:line="360" w:lineRule="auto"/>
    </w:pPr>
  </w:style>
  <w:style w:type="paragraph" w:customStyle="1" w:styleId="Figurecaption">
    <w:name w:val="Figure caption"/>
    <w:basedOn w:val="Normal"/>
    <w:next w:val="Normal"/>
    <w:qFormat/>
    <w:rsid w:val="0031686C"/>
    <w:pPr>
      <w:spacing w:before="240" w:line="360" w:lineRule="auto"/>
    </w:pPr>
  </w:style>
  <w:style w:type="paragraph" w:customStyle="1" w:styleId="Footnotes">
    <w:name w:val="Footnotes"/>
    <w:basedOn w:val="Normal"/>
    <w:qFormat/>
    <w:rsid w:val="006C6936"/>
    <w:pPr>
      <w:spacing w:before="120" w:line="360" w:lineRule="auto"/>
      <w:ind w:left="482" w:hanging="482"/>
      <w:contextualSpacing/>
    </w:pPr>
    <w:rPr>
      <w:sz w:val="22"/>
    </w:rPr>
  </w:style>
  <w:style w:type="paragraph" w:customStyle="1" w:styleId="Notesoncontributors">
    <w:name w:val="Notes on contributors"/>
    <w:basedOn w:val="Normal"/>
    <w:qFormat/>
    <w:rsid w:val="00F04900"/>
    <w:pPr>
      <w:spacing w:before="240" w:line="360" w:lineRule="auto"/>
    </w:pPr>
    <w:rPr>
      <w:sz w:val="22"/>
    </w:rPr>
  </w:style>
  <w:style w:type="paragraph" w:customStyle="1" w:styleId="Normalparagraphstyle">
    <w:name w:val="Normal paragraph style"/>
    <w:basedOn w:val="Normal"/>
    <w:next w:val="Normal"/>
    <w:rsid w:val="00562DEF"/>
  </w:style>
  <w:style w:type="paragraph" w:customStyle="1" w:styleId="Paragraph">
    <w:name w:val="Paragraph"/>
    <w:basedOn w:val="Normal"/>
    <w:next w:val="Newparagraph"/>
    <w:link w:val="ParagraphChar"/>
    <w:qFormat/>
    <w:rsid w:val="001B7681"/>
    <w:pPr>
      <w:widowControl w:val="0"/>
      <w:spacing w:before="240"/>
    </w:pPr>
  </w:style>
  <w:style w:type="paragraph" w:customStyle="1" w:styleId="Newparagraph">
    <w:name w:val="New paragraph"/>
    <w:basedOn w:val="Normal"/>
    <w:qFormat/>
    <w:rsid w:val="00AE2F8D"/>
    <w:pPr>
      <w:ind w:firstLine="720"/>
    </w:pPr>
  </w:style>
  <w:style w:type="paragraph" w:styleId="NormalIndent">
    <w:name w:val="Normal Indent"/>
    <w:basedOn w:val="Normal"/>
    <w:rsid w:val="00526454"/>
    <w:pPr>
      <w:ind w:left="720"/>
    </w:pPr>
  </w:style>
  <w:style w:type="paragraph" w:customStyle="1" w:styleId="References">
    <w:name w:val="References"/>
    <w:basedOn w:val="Normal"/>
    <w:qFormat/>
    <w:rsid w:val="002C53EE"/>
    <w:pPr>
      <w:spacing w:before="120" w:line="360" w:lineRule="auto"/>
      <w:ind w:left="720" w:hanging="720"/>
      <w:contextualSpacing/>
    </w:pPr>
  </w:style>
  <w:style w:type="paragraph" w:customStyle="1" w:styleId="Subjectcodes">
    <w:name w:val="Subject codes"/>
    <w:basedOn w:val="Keywords"/>
    <w:next w:val="Paragraph"/>
    <w:qFormat/>
    <w:rsid w:val="0000681B"/>
  </w:style>
  <w:style w:type="character" w:customStyle="1" w:styleId="Heading2Char">
    <w:name w:val="Heading 2 Char"/>
    <w:basedOn w:val="DefaultParagraphFont"/>
    <w:link w:val="Heading2"/>
    <w:rsid w:val="008D07FB"/>
    <w:rPr>
      <w:rFonts w:cs="Arial"/>
      <w:b/>
      <w:bCs/>
      <w:i/>
      <w:iCs/>
      <w:sz w:val="24"/>
      <w:szCs w:val="28"/>
    </w:rPr>
  </w:style>
  <w:style w:type="character" w:customStyle="1" w:styleId="Heading1Char">
    <w:name w:val="Heading 1 Char"/>
    <w:basedOn w:val="DefaultParagraphFont"/>
    <w:link w:val="Heading1"/>
    <w:uiPriority w:val="9"/>
    <w:rsid w:val="00AE1ED4"/>
    <w:rPr>
      <w:rFonts w:cs="Arial"/>
      <w:b/>
      <w:bCs/>
      <w:kern w:val="32"/>
      <w:sz w:val="24"/>
      <w:szCs w:val="32"/>
    </w:rPr>
  </w:style>
  <w:style w:type="character" w:customStyle="1" w:styleId="Heading3Char">
    <w:name w:val="Heading 3 Char"/>
    <w:basedOn w:val="DefaultParagraphFont"/>
    <w:link w:val="Heading3"/>
    <w:rsid w:val="00DF7EE2"/>
    <w:rPr>
      <w:rFonts w:eastAsia="Times New Roman" w:cs="Arial"/>
      <w:bCs/>
      <w:i/>
      <w:sz w:val="24"/>
      <w:szCs w:val="26"/>
      <w:lang w:eastAsia="en-GB"/>
    </w:rPr>
  </w:style>
  <w:style w:type="paragraph" w:customStyle="1" w:styleId="Bulletedlist">
    <w:name w:val="Bulleted list"/>
    <w:basedOn w:val="Paragraph"/>
    <w:next w:val="Paragraph"/>
    <w:qFormat/>
    <w:rsid w:val="004E0338"/>
    <w:pPr>
      <w:widowControl/>
      <w:numPr>
        <w:numId w:val="28"/>
      </w:numPr>
      <w:spacing w:after="240"/>
      <w:contextualSpacing/>
    </w:pPr>
  </w:style>
  <w:style w:type="paragraph" w:styleId="FootnoteText">
    <w:name w:val="footnote text"/>
    <w:basedOn w:val="Normal"/>
    <w:link w:val="FootnoteTextChar"/>
    <w:autoRedefine/>
    <w:rsid w:val="006C19B2"/>
    <w:pPr>
      <w:ind w:left="284" w:hanging="284"/>
    </w:pPr>
    <w:rPr>
      <w:sz w:val="22"/>
      <w:szCs w:val="20"/>
    </w:rPr>
  </w:style>
  <w:style w:type="character" w:customStyle="1" w:styleId="FootnoteTextChar">
    <w:name w:val="Footnote Text Char"/>
    <w:basedOn w:val="DefaultParagraphFont"/>
    <w:link w:val="FootnoteText"/>
    <w:rsid w:val="006C19B2"/>
    <w:rPr>
      <w:sz w:val="22"/>
    </w:rPr>
  </w:style>
  <w:style w:type="character" w:styleId="FootnoteReference">
    <w:name w:val="footnote reference"/>
    <w:basedOn w:val="DefaultParagraphFont"/>
    <w:rsid w:val="00AF2C92"/>
    <w:rPr>
      <w:vertAlign w:val="superscript"/>
    </w:rPr>
  </w:style>
  <w:style w:type="paragraph" w:styleId="EndnoteText">
    <w:name w:val="endnote text"/>
    <w:basedOn w:val="Normal"/>
    <w:link w:val="EndnoteTextChar"/>
    <w:autoRedefine/>
    <w:rsid w:val="006C19B2"/>
    <w:pPr>
      <w:ind w:left="284" w:hanging="284"/>
    </w:pPr>
    <w:rPr>
      <w:sz w:val="22"/>
      <w:szCs w:val="20"/>
    </w:rPr>
  </w:style>
  <w:style w:type="character" w:customStyle="1" w:styleId="EndnoteTextChar">
    <w:name w:val="Endnote Text Char"/>
    <w:basedOn w:val="DefaultParagraphFont"/>
    <w:link w:val="EndnoteText"/>
    <w:rsid w:val="006C19B2"/>
    <w:rPr>
      <w:sz w:val="22"/>
    </w:rPr>
  </w:style>
  <w:style w:type="character" w:styleId="EndnoteReference">
    <w:name w:val="endnote reference"/>
    <w:basedOn w:val="DefaultParagraphFont"/>
    <w:rsid w:val="00EC571B"/>
    <w:rPr>
      <w:vertAlign w:val="superscript"/>
    </w:rPr>
  </w:style>
  <w:style w:type="character" w:customStyle="1" w:styleId="Heading4Char">
    <w:name w:val="Heading 4 Char"/>
    <w:basedOn w:val="DefaultParagraphFont"/>
    <w:link w:val="Heading4"/>
    <w:rsid w:val="00F43B9D"/>
    <w:rPr>
      <w:bCs/>
      <w:sz w:val="24"/>
      <w:szCs w:val="28"/>
    </w:rPr>
  </w:style>
  <w:style w:type="paragraph" w:styleId="Header">
    <w:name w:val="header"/>
    <w:basedOn w:val="Normal"/>
    <w:link w:val="HeaderChar"/>
    <w:rsid w:val="003F193A"/>
    <w:pPr>
      <w:tabs>
        <w:tab w:val="center" w:pos="4320"/>
        <w:tab w:val="right" w:pos="8640"/>
      </w:tabs>
      <w:spacing w:after="120" w:line="240" w:lineRule="auto"/>
      <w:contextualSpacing/>
    </w:pPr>
  </w:style>
  <w:style w:type="character" w:customStyle="1" w:styleId="HeaderChar">
    <w:name w:val="Header Char"/>
    <w:basedOn w:val="DefaultParagraphFont"/>
    <w:link w:val="Header"/>
    <w:rsid w:val="003F193A"/>
    <w:rPr>
      <w:rFonts w:eastAsia="Times New Roman"/>
      <w:sz w:val="24"/>
      <w:szCs w:val="24"/>
      <w:lang w:eastAsia="en-GB"/>
    </w:rPr>
  </w:style>
  <w:style w:type="paragraph" w:styleId="Footer">
    <w:name w:val="footer"/>
    <w:basedOn w:val="Normal"/>
    <w:link w:val="FooterChar"/>
    <w:rsid w:val="00AE6A21"/>
    <w:pPr>
      <w:tabs>
        <w:tab w:val="center" w:pos="4320"/>
        <w:tab w:val="right" w:pos="8640"/>
      </w:tabs>
      <w:spacing w:before="240" w:line="240" w:lineRule="auto"/>
      <w:contextualSpacing/>
    </w:pPr>
  </w:style>
  <w:style w:type="character" w:customStyle="1" w:styleId="FooterChar">
    <w:name w:val="Footer Char"/>
    <w:basedOn w:val="DefaultParagraphFont"/>
    <w:link w:val="Footer"/>
    <w:rsid w:val="00AE6A21"/>
    <w:rPr>
      <w:sz w:val="24"/>
      <w:szCs w:val="24"/>
    </w:rPr>
  </w:style>
  <w:style w:type="paragraph" w:customStyle="1" w:styleId="Heading4Paragraph">
    <w:name w:val="Heading 4 + Paragraph"/>
    <w:basedOn w:val="Paragraph"/>
    <w:next w:val="Newparagraph"/>
    <w:qFormat/>
    <w:rsid w:val="00AE1ED4"/>
    <w:pPr>
      <w:widowControl/>
      <w:spacing w:before="360"/>
    </w:pPr>
  </w:style>
  <w:style w:type="paragraph" w:styleId="PlainText">
    <w:name w:val="Plain Text"/>
    <w:basedOn w:val="Normal"/>
    <w:link w:val="PlainTextChar"/>
    <w:uiPriority w:val="99"/>
    <w:semiHidden/>
    <w:unhideWhenUsed/>
    <w:rsid w:val="000A4E5E"/>
    <w:pPr>
      <w:spacing w:line="240" w:lineRule="auto"/>
    </w:pPr>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semiHidden/>
    <w:rsid w:val="000A4E5E"/>
    <w:rPr>
      <w:rFonts w:ascii="Consolas" w:eastAsia="Calibri" w:hAnsi="Consolas"/>
      <w:sz w:val="21"/>
      <w:szCs w:val="21"/>
      <w:lang w:val="en-US" w:eastAsia="en-US"/>
    </w:rPr>
  </w:style>
  <w:style w:type="paragraph" w:customStyle="1" w:styleId="EndNoteBibliographyTitle">
    <w:name w:val="EndNote Bibliography Title"/>
    <w:basedOn w:val="Normal"/>
    <w:link w:val="EndNoteBibliographyTitleChar"/>
    <w:rsid w:val="008B2EDE"/>
    <w:pPr>
      <w:jc w:val="center"/>
    </w:pPr>
    <w:rPr>
      <w:noProof/>
    </w:rPr>
  </w:style>
  <w:style w:type="character" w:customStyle="1" w:styleId="ParagraphChar">
    <w:name w:val="Paragraph Char"/>
    <w:basedOn w:val="DefaultParagraphFont"/>
    <w:link w:val="Paragraph"/>
    <w:rsid w:val="008B2EDE"/>
    <w:rPr>
      <w:sz w:val="24"/>
      <w:szCs w:val="24"/>
    </w:rPr>
  </w:style>
  <w:style w:type="character" w:customStyle="1" w:styleId="EndNoteBibliographyTitleChar">
    <w:name w:val="EndNote Bibliography Title Char"/>
    <w:basedOn w:val="ParagraphChar"/>
    <w:link w:val="EndNoteBibliographyTitle"/>
    <w:rsid w:val="008B2EDE"/>
    <w:rPr>
      <w:noProof/>
      <w:sz w:val="24"/>
      <w:szCs w:val="24"/>
    </w:rPr>
  </w:style>
  <w:style w:type="paragraph" w:customStyle="1" w:styleId="EndNoteBibliography">
    <w:name w:val="EndNote Bibliography"/>
    <w:basedOn w:val="Normal"/>
    <w:link w:val="EndNoteBibliographyChar"/>
    <w:rsid w:val="008B2EDE"/>
    <w:pPr>
      <w:spacing w:line="240" w:lineRule="auto"/>
    </w:pPr>
    <w:rPr>
      <w:noProof/>
    </w:rPr>
  </w:style>
  <w:style w:type="character" w:customStyle="1" w:styleId="EndNoteBibliographyChar">
    <w:name w:val="EndNote Bibliography Char"/>
    <w:basedOn w:val="ParagraphChar"/>
    <w:link w:val="EndNoteBibliography"/>
    <w:rsid w:val="008B2EDE"/>
    <w:rPr>
      <w:noProof/>
      <w:sz w:val="24"/>
      <w:szCs w:val="24"/>
    </w:rPr>
  </w:style>
  <w:style w:type="character" w:styleId="Hyperlink">
    <w:name w:val="Hyperlink"/>
    <w:basedOn w:val="DefaultParagraphFont"/>
    <w:unhideWhenUsed/>
    <w:rsid w:val="008B2EDE"/>
    <w:rPr>
      <w:color w:val="0000FF" w:themeColor="hyperlink"/>
      <w:u w:val="single"/>
    </w:rPr>
  </w:style>
  <w:style w:type="character" w:styleId="UnresolvedMention">
    <w:name w:val="Unresolved Mention"/>
    <w:basedOn w:val="DefaultParagraphFont"/>
    <w:uiPriority w:val="99"/>
    <w:semiHidden/>
    <w:unhideWhenUsed/>
    <w:rsid w:val="008B2EDE"/>
    <w:rPr>
      <w:color w:val="605E5C"/>
      <w:shd w:val="clear" w:color="auto" w:fill="E1DFDD"/>
    </w:rPr>
  </w:style>
  <w:style w:type="paragraph" w:styleId="BalloonText">
    <w:name w:val="Balloon Text"/>
    <w:basedOn w:val="Normal"/>
    <w:link w:val="BalloonTextChar"/>
    <w:semiHidden/>
    <w:unhideWhenUsed/>
    <w:rsid w:val="00E92DC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E92DC9"/>
    <w:rPr>
      <w:rFonts w:ascii="Segoe UI" w:hAnsi="Segoe UI" w:cs="Segoe UI"/>
      <w:sz w:val="18"/>
      <w:szCs w:val="18"/>
    </w:rPr>
  </w:style>
  <w:style w:type="character" w:styleId="CommentReference">
    <w:name w:val="annotation reference"/>
    <w:basedOn w:val="DefaultParagraphFont"/>
    <w:semiHidden/>
    <w:unhideWhenUsed/>
    <w:rsid w:val="00000746"/>
    <w:rPr>
      <w:sz w:val="16"/>
      <w:szCs w:val="16"/>
    </w:rPr>
  </w:style>
  <w:style w:type="paragraph" w:styleId="CommentText">
    <w:name w:val="annotation text"/>
    <w:basedOn w:val="Normal"/>
    <w:link w:val="CommentTextChar"/>
    <w:semiHidden/>
    <w:unhideWhenUsed/>
    <w:rsid w:val="00000746"/>
    <w:pPr>
      <w:spacing w:line="240" w:lineRule="auto"/>
    </w:pPr>
    <w:rPr>
      <w:sz w:val="20"/>
      <w:szCs w:val="20"/>
    </w:rPr>
  </w:style>
  <w:style w:type="character" w:customStyle="1" w:styleId="CommentTextChar">
    <w:name w:val="Comment Text Char"/>
    <w:basedOn w:val="DefaultParagraphFont"/>
    <w:link w:val="CommentText"/>
    <w:semiHidden/>
    <w:rsid w:val="00000746"/>
  </w:style>
  <w:style w:type="paragraph" w:styleId="CommentSubject">
    <w:name w:val="annotation subject"/>
    <w:basedOn w:val="CommentText"/>
    <w:next w:val="CommentText"/>
    <w:link w:val="CommentSubjectChar"/>
    <w:semiHidden/>
    <w:unhideWhenUsed/>
    <w:rsid w:val="00000746"/>
    <w:rPr>
      <w:b/>
      <w:bCs/>
    </w:rPr>
  </w:style>
  <w:style w:type="character" w:customStyle="1" w:styleId="CommentSubjectChar">
    <w:name w:val="Comment Subject Char"/>
    <w:basedOn w:val="CommentTextChar"/>
    <w:link w:val="CommentSubject"/>
    <w:semiHidden/>
    <w:rsid w:val="00000746"/>
    <w:rPr>
      <w:b/>
      <w:bCs/>
    </w:rPr>
  </w:style>
  <w:style w:type="paragraph" w:styleId="ListParagraph">
    <w:name w:val="List Paragraph"/>
    <w:basedOn w:val="Normal"/>
    <w:uiPriority w:val="34"/>
    <w:qFormat/>
    <w:rsid w:val="00000746"/>
    <w:pPr>
      <w:spacing w:line="240" w:lineRule="auto"/>
      <w:ind w:left="720"/>
    </w:pPr>
    <w:rPr>
      <w:rFonts w:ascii="Garamond" w:eastAsia="Calibri" w:hAnsi="Garamond"/>
      <w:color w:val="1F497D"/>
      <w:lang w:val="en-US" w:eastAsia="en-US"/>
    </w:rPr>
  </w:style>
  <w:style w:type="table" w:styleId="TableGrid">
    <w:name w:val="Table Grid"/>
    <w:basedOn w:val="TableNormal"/>
    <w:rsid w:val="008132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E18A0"/>
    <w:pPr>
      <w:spacing w:before="100" w:beforeAutospacing="1" w:after="100" w:afterAutospacing="1" w:line="240" w:lineRule="auto"/>
    </w:pPr>
    <w:rPr>
      <w:lang w:val="en-US" w:eastAsia="en-US"/>
    </w:rPr>
  </w:style>
  <w:style w:type="character" w:customStyle="1" w:styleId="SubtitleChar">
    <w:name w:val="Subtitle Char"/>
    <w:basedOn w:val="DefaultParagraphFont"/>
    <w:link w:val="Subtitle"/>
    <w:uiPriority w:val="11"/>
    <w:rsid w:val="005E18A0"/>
    <w:rPr>
      <w:rFonts w:eastAsiaTheme="minorEastAsia"/>
      <w:color w:val="5A5A5A" w:themeColor="text1" w:themeTint="A5"/>
      <w:spacing w:val="15"/>
      <w:sz w:val="22"/>
      <w:szCs w:val="22"/>
    </w:rPr>
  </w:style>
  <w:style w:type="paragraph" w:styleId="Subtitle">
    <w:name w:val="Subtitle"/>
    <w:basedOn w:val="Normal"/>
    <w:next w:val="Normal"/>
    <w:link w:val="SubtitleChar"/>
    <w:uiPriority w:val="11"/>
    <w:qFormat/>
    <w:rsid w:val="005E18A0"/>
    <w:pPr>
      <w:numPr>
        <w:ilvl w:val="1"/>
      </w:numPr>
      <w:spacing w:after="160" w:line="240" w:lineRule="auto"/>
    </w:pPr>
    <w:rPr>
      <w:rFonts w:eastAsiaTheme="minorEastAsia"/>
      <w:color w:val="5A5A5A" w:themeColor="text1" w:themeTint="A5"/>
      <w:spacing w:val="15"/>
      <w:sz w:val="22"/>
      <w:szCs w:val="22"/>
    </w:rPr>
  </w:style>
  <w:style w:type="character" w:customStyle="1" w:styleId="SubtitleChar1">
    <w:name w:val="Subtitle Char1"/>
    <w:basedOn w:val="DefaultParagraphFont"/>
    <w:rsid w:val="005E18A0"/>
    <w:rPr>
      <w:rFonts w:asciiTheme="minorHAnsi" w:eastAsiaTheme="minorEastAsia" w:hAnsiTheme="minorHAnsi" w:cstheme="minorBidi"/>
      <w:color w:val="5A5A5A" w:themeColor="text1" w:themeTint="A5"/>
      <w:spacing w:val="15"/>
      <w:sz w:val="22"/>
      <w:szCs w:val="22"/>
    </w:rPr>
  </w:style>
  <w:style w:type="character" w:customStyle="1" w:styleId="TitleChar">
    <w:name w:val="Title Char"/>
    <w:basedOn w:val="DefaultParagraphFont"/>
    <w:link w:val="Title"/>
    <w:uiPriority w:val="10"/>
    <w:rsid w:val="005E18A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rsid w:val="005E18A0"/>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1">
    <w:name w:val="Title Char1"/>
    <w:basedOn w:val="DefaultParagraphFont"/>
    <w:rsid w:val="005E18A0"/>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729428">
      <w:bodyDiv w:val="1"/>
      <w:marLeft w:val="0"/>
      <w:marRight w:val="0"/>
      <w:marTop w:val="0"/>
      <w:marBottom w:val="0"/>
      <w:divBdr>
        <w:top w:val="none" w:sz="0" w:space="0" w:color="auto"/>
        <w:left w:val="none" w:sz="0" w:space="0" w:color="auto"/>
        <w:bottom w:val="none" w:sz="0" w:space="0" w:color="auto"/>
        <w:right w:val="none" w:sz="0" w:space="0" w:color="auto"/>
      </w:divBdr>
    </w:div>
    <w:div w:id="909926053">
      <w:bodyDiv w:val="1"/>
      <w:marLeft w:val="0"/>
      <w:marRight w:val="0"/>
      <w:marTop w:val="0"/>
      <w:marBottom w:val="0"/>
      <w:divBdr>
        <w:top w:val="none" w:sz="0" w:space="0" w:color="auto"/>
        <w:left w:val="none" w:sz="0" w:space="0" w:color="auto"/>
        <w:bottom w:val="none" w:sz="0" w:space="0" w:color="auto"/>
        <w:right w:val="none" w:sz="0" w:space="0" w:color="auto"/>
      </w:divBdr>
    </w:div>
    <w:div w:id="1298224567">
      <w:bodyDiv w:val="1"/>
      <w:marLeft w:val="0"/>
      <w:marRight w:val="0"/>
      <w:marTop w:val="0"/>
      <w:marBottom w:val="0"/>
      <w:divBdr>
        <w:top w:val="none" w:sz="0" w:space="0" w:color="auto"/>
        <w:left w:val="none" w:sz="0" w:space="0" w:color="auto"/>
        <w:bottom w:val="none" w:sz="0" w:space="0" w:color="auto"/>
        <w:right w:val="none" w:sz="0" w:space="0" w:color="auto"/>
      </w:divBdr>
    </w:div>
    <w:div w:id="2094082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ema.gov/common-alerting-protocol" TargetMode="External"/><Relationship Id="rId18" Type="http://schemas.openxmlformats.org/officeDocument/2006/relationships/hyperlink" Target="https://www.napsgfoundation.org/all-resources/symbology-library/"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fema.gov/media-library/assets/documents/897" TargetMode="External"/><Relationship Id="rId17" Type="http://schemas.openxmlformats.org/officeDocument/2006/relationships/hyperlink" Target="http://scholarworks.csun.edu/handle/10211.3/215946" TargetMode="External"/><Relationship Id="rId2" Type="http://schemas.openxmlformats.org/officeDocument/2006/relationships/customXml" Target="../customXml/item2.xml"/><Relationship Id="rId16" Type="http://schemas.openxmlformats.org/officeDocument/2006/relationships/hyperlink" Target="https://www.fema.gov/sites/default/files/2020-03/publication-one_english_2019.pdf" TargetMode="External"/><Relationship Id="rId20" Type="http://schemas.openxmlformats.org/officeDocument/2006/relationships/hyperlink" Target="http://www.who.int/hac/techguidance/preparedness/disability/e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fema.gov/sites/default/files/2020-03/publication-one_english_2019.pdf" TargetMode="External"/><Relationship Id="rId10" Type="http://schemas.openxmlformats.org/officeDocument/2006/relationships/endnotes" Target="endnotes.xml"/><Relationship Id="rId19" Type="http://schemas.openxmlformats.org/officeDocument/2006/relationships/hyperlink" Target="https://www.cdc.gov/ncbddd/disabilityandhealth/infographic-disability-impacts-all.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ema.gov/media-library/assets/documents/90360"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l237\AppData\Local\Temp\Temp1_TF_Template_Word_Windows_2016.zip\TF_Template_Word_Windows_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C6A6D1959E9DB4D88EEE2958D607EF2" ma:contentTypeVersion="13" ma:contentTypeDescription="Create a new document." ma:contentTypeScope="" ma:versionID="335dbae9df462929e31553ee0c685ac9">
  <xsd:schema xmlns:xsd="http://www.w3.org/2001/XMLSchema" xmlns:xs="http://www.w3.org/2001/XMLSchema" xmlns:p="http://schemas.microsoft.com/office/2006/metadata/properties" xmlns:ns3="e9cb2ca1-cc84-4dca-a533-add31f05e6dd" xmlns:ns4="d7f549fc-e782-4d90-9f52-67993be2fd87" targetNamespace="http://schemas.microsoft.com/office/2006/metadata/properties" ma:root="true" ma:fieldsID="cc871a24e009451e7231d8bed731ec76" ns3:_="" ns4:_="">
    <xsd:import namespace="e9cb2ca1-cc84-4dca-a533-add31f05e6dd"/>
    <xsd:import namespace="d7f549fc-e782-4d90-9f52-67993be2fd8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cb2ca1-cc84-4dca-a533-add31f05e6d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f549fc-e782-4d90-9f52-67993be2fd8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D8C8B1-9C3C-144A-A972-FEB4D55C3552}">
  <ds:schemaRefs>
    <ds:schemaRef ds:uri="http://schemas.openxmlformats.org/officeDocument/2006/bibliography"/>
  </ds:schemaRefs>
</ds:datastoreItem>
</file>

<file path=customXml/itemProps2.xml><?xml version="1.0" encoding="utf-8"?>
<ds:datastoreItem xmlns:ds="http://schemas.openxmlformats.org/officeDocument/2006/customXml" ds:itemID="{A6508417-7E15-428C-B0E7-B7745F91173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2D3F7A9-2B9C-48C2-B812-27DF5AC46501}">
  <ds:schemaRefs>
    <ds:schemaRef ds:uri="http://schemas.microsoft.com/sharepoint/v3/contenttype/forms"/>
  </ds:schemaRefs>
</ds:datastoreItem>
</file>

<file path=customXml/itemProps4.xml><?xml version="1.0" encoding="utf-8"?>
<ds:datastoreItem xmlns:ds="http://schemas.openxmlformats.org/officeDocument/2006/customXml" ds:itemID="{8B8BBA99-AD31-467E-AE6B-1A51D8B78C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cb2ca1-cc84-4dca-a533-add31f05e6dd"/>
    <ds:schemaRef ds:uri="d7f549fc-e782-4d90-9f52-67993be2fd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TF_Template_Word_Windows_2016</Template>
  <TotalTime>3</TotalTime>
  <Pages>7</Pages>
  <Words>3736</Words>
  <Characters>21299</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TF_Template_Word_Windows_2016</vt:lpstr>
    </vt:vector>
  </TitlesOfParts>
  <Company>Informa Plc</Company>
  <LinksUpToDate>false</LinksUpToDate>
  <CharactersWithSpaces>24986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TF_Template_Word_Windows_2016</dc:title>
  <dc:creator>Linden, Maureen A</dc:creator>
  <cp:lastModifiedBy>Laforce, Muslimah S</cp:lastModifiedBy>
  <cp:revision>3</cp:revision>
  <cp:lastPrinted>2021-01-20T00:25:00Z</cp:lastPrinted>
  <dcterms:created xsi:type="dcterms:W3CDTF">2022-09-26T19:36:00Z</dcterms:created>
  <dcterms:modified xsi:type="dcterms:W3CDTF">2022-09-26T19:40:00Z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0x010100EC6A6D1959E9DB4D88EEE2958D607EF2</vt:lpwstr>
  </property>
</Properties>
</file>