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2F7A2" w14:textId="77777777" w:rsidR="00380133" w:rsidRDefault="00380133" w:rsidP="00380133">
      <w:pPr>
        <w:spacing w:before="360"/>
        <w:ind w:right="-380"/>
        <w:jc w:val="center"/>
        <w:rPr>
          <w:b/>
          <w:sz w:val="24"/>
          <w:szCs w:val="24"/>
          <w:u w:val="single"/>
        </w:rPr>
      </w:pPr>
      <w:r w:rsidRPr="00975AB8">
        <w:rPr>
          <w:noProof/>
          <w:vertAlign w:val="subscript"/>
        </w:rPr>
        <w:drawing>
          <wp:inline distT="0" distB="0" distL="0" distR="0" wp14:anchorId="47291013" wp14:editId="0D5A8D29">
            <wp:extent cx="2338139" cy="914400"/>
            <wp:effectExtent l="0" t="0" r="5080" b="0"/>
            <wp:docPr id="4" name="Picture 4" descr="Wireless Inclusive RERC"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ylambeth:Dropbox:IMTC:Wireless RERC Branding:WirelessInclusive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8754" cy="914641"/>
                    </a:xfrm>
                    <a:prstGeom prst="rect">
                      <a:avLst/>
                    </a:prstGeom>
                    <a:noFill/>
                    <a:ln>
                      <a:noFill/>
                    </a:ln>
                  </pic:spPr>
                </pic:pic>
              </a:graphicData>
            </a:graphic>
          </wp:inline>
        </w:drawing>
      </w:r>
    </w:p>
    <w:p w14:paraId="6822B83F" w14:textId="77777777" w:rsidR="00380133" w:rsidRDefault="00380133" w:rsidP="00380133">
      <w:pPr>
        <w:spacing w:before="360"/>
        <w:ind w:right="-380"/>
        <w:rPr>
          <w:b/>
          <w:sz w:val="24"/>
          <w:szCs w:val="24"/>
          <w:u w:val="single"/>
        </w:rPr>
      </w:pPr>
      <w:r>
        <w:rPr>
          <w:b/>
          <w:sz w:val="24"/>
          <w:szCs w:val="24"/>
          <w:u w:val="single"/>
        </w:rPr>
        <w:t>VIA ECFS</w:t>
      </w:r>
    </w:p>
    <w:p w14:paraId="17034426" w14:textId="77777777" w:rsidR="00380133" w:rsidRDefault="00380133" w:rsidP="00380133">
      <w:pPr>
        <w:rPr>
          <w:sz w:val="24"/>
          <w:szCs w:val="24"/>
        </w:rPr>
      </w:pPr>
    </w:p>
    <w:p w14:paraId="735A118F" w14:textId="77777777" w:rsidR="00380133" w:rsidRDefault="00D9481E" w:rsidP="00380133">
      <w:pPr>
        <w:rPr>
          <w:sz w:val="24"/>
          <w:szCs w:val="24"/>
        </w:rPr>
      </w:pPr>
      <w:r>
        <w:rPr>
          <w:sz w:val="24"/>
          <w:szCs w:val="24"/>
        </w:rPr>
        <w:t>May</w:t>
      </w:r>
      <w:r w:rsidR="00380133">
        <w:rPr>
          <w:sz w:val="24"/>
          <w:szCs w:val="24"/>
        </w:rPr>
        <w:t xml:space="preserve"> </w:t>
      </w:r>
      <w:r>
        <w:rPr>
          <w:sz w:val="24"/>
          <w:szCs w:val="24"/>
        </w:rPr>
        <w:t>20, 2019</w:t>
      </w:r>
    </w:p>
    <w:p w14:paraId="61609E26" w14:textId="77777777" w:rsidR="00380133" w:rsidRDefault="00380133" w:rsidP="00380133">
      <w:pPr>
        <w:rPr>
          <w:sz w:val="24"/>
          <w:szCs w:val="24"/>
        </w:rPr>
      </w:pPr>
    </w:p>
    <w:p w14:paraId="529FF3BE" w14:textId="77777777" w:rsidR="00380133" w:rsidRDefault="00380133" w:rsidP="00380133">
      <w:pPr>
        <w:rPr>
          <w:sz w:val="24"/>
          <w:szCs w:val="24"/>
        </w:rPr>
      </w:pPr>
      <w:r>
        <w:rPr>
          <w:sz w:val="24"/>
          <w:szCs w:val="24"/>
        </w:rPr>
        <w:t>Marlene H. Dortch, Secretary</w:t>
      </w:r>
    </w:p>
    <w:p w14:paraId="5D5694FE" w14:textId="77777777" w:rsidR="00380133" w:rsidRDefault="00380133" w:rsidP="00380133">
      <w:pPr>
        <w:rPr>
          <w:sz w:val="24"/>
          <w:szCs w:val="24"/>
        </w:rPr>
      </w:pPr>
      <w:r>
        <w:rPr>
          <w:sz w:val="24"/>
          <w:szCs w:val="24"/>
        </w:rPr>
        <w:t>Office of the Secretary</w:t>
      </w:r>
    </w:p>
    <w:p w14:paraId="5D9EAD5D" w14:textId="77777777" w:rsidR="00380133" w:rsidRDefault="00380133" w:rsidP="00380133">
      <w:pPr>
        <w:rPr>
          <w:sz w:val="24"/>
          <w:szCs w:val="24"/>
        </w:rPr>
      </w:pPr>
      <w:r>
        <w:rPr>
          <w:sz w:val="24"/>
          <w:szCs w:val="24"/>
        </w:rPr>
        <w:t>Federal Communications Commission</w:t>
      </w:r>
    </w:p>
    <w:p w14:paraId="2B6DA180" w14:textId="77777777" w:rsidR="00380133" w:rsidRDefault="00380133" w:rsidP="00380133">
      <w:pPr>
        <w:rPr>
          <w:sz w:val="24"/>
          <w:szCs w:val="24"/>
        </w:rPr>
      </w:pPr>
      <w:r>
        <w:rPr>
          <w:sz w:val="24"/>
          <w:szCs w:val="24"/>
        </w:rPr>
        <w:t>445 12</w:t>
      </w:r>
      <w:r>
        <w:rPr>
          <w:sz w:val="24"/>
          <w:szCs w:val="24"/>
          <w:vertAlign w:val="superscript"/>
        </w:rPr>
        <w:t>th</w:t>
      </w:r>
      <w:r>
        <w:rPr>
          <w:sz w:val="24"/>
          <w:szCs w:val="24"/>
        </w:rPr>
        <w:t xml:space="preserve"> Street, S.W.</w:t>
      </w:r>
    </w:p>
    <w:p w14:paraId="27D987BD" w14:textId="77777777" w:rsidR="00380133" w:rsidRDefault="00380133" w:rsidP="00380133">
      <w:pPr>
        <w:rPr>
          <w:sz w:val="24"/>
          <w:szCs w:val="24"/>
        </w:rPr>
      </w:pPr>
      <w:r>
        <w:rPr>
          <w:sz w:val="24"/>
          <w:szCs w:val="24"/>
        </w:rPr>
        <w:t>TW-A325</w:t>
      </w:r>
    </w:p>
    <w:p w14:paraId="5F392823" w14:textId="77777777" w:rsidR="00380133" w:rsidRDefault="00380133" w:rsidP="00380133">
      <w:pPr>
        <w:rPr>
          <w:sz w:val="24"/>
          <w:szCs w:val="24"/>
        </w:rPr>
      </w:pPr>
      <w:r>
        <w:rPr>
          <w:sz w:val="24"/>
          <w:szCs w:val="24"/>
        </w:rPr>
        <w:t>Washington D.C.  20554</w:t>
      </w:r>
    </w:p>
    <w:p w14:paraId="2EC5B5AF" w14:textId="77777777" w:rsidR="00380133" w:rsidRDefault="00380133" w:rsidP="00380133">
      <w:pPr>
        <w:rPr>
          <w:sz w:val="24"/>
          <w:szCs w:val="24"/>
        </w:rPr>
      </w:pPr>
    </w:p>
    <w:p w14:paraId="71D7D4C9" w14:textId="77777777" w:rsidR="00380133" w:rsidRDefault="00380133" w:rsidP="00380133">
      <w:pPr>
        <w:ind w:right="-18"/>
        <w:rPr>
          <w:b/>
          <w:sz w:val="24"/>
          <w:szCs w:val="24"/>
        </w:rPr>
      </w:pPr>
      <w:r>
        <w:rPr>
          <w:b/>
          <w:sz w:val="24"/>
          <w:szCs w:val="24"/>
        </w:rPr>
        <w:t xml:space="preserve">Re:  </w:t>
      </w:r>
      <w:r w:rsidR="00BD7802" w:rsidRPr="00BD7802">
        <w:rPr>
          <w:b/>
          <w:sz w:val="24"/>
          <w:szCs w:val="24"/>
        </w:rPr>
        <w:t xml:space="preserve">Improving The Wireless Resiliency Cooperative Framework </w:t>
      </w:r>
      <w:r w:rsidRPr="00380133">
        <w:rPr>
          <w:b/>
          <w:sz w:val="24"/>
          <w:szCs w:val="24"/>
        </w:rPr>
        <w:t>[</w:t>
      </w:r>
      <w:r w:rsidR="00BD7802" w:rsidRPr="00BD7802">
        <w:rPr>
          <w:b/>
          <w:spacing w:val="-2"/>
        </w:rPr>
        <w:t>PS Docket No. 11-60</w:t>
      </w:r>
      <w:r w:rsidRPr="00380133">
        <w:rPr>
          <w:b/>
          <w:spacing w:val="-2"/>
        </w:rPr>
        <w:t>]</w:t>
      </w:r>
    </w:p>
    <w:p w14:paraId="000B178A" w14:textId="77777777" w:rsidR="00380133" w:rsidRDefault="00380133" w:rsidP="00380133">
      <w:pPr>
        <w:rPr>
          <w:sz w:val="24"/>
          <w:szCs w:val="24"/>
        </w:rPr>
      </w:pPr>
    </w:p>
    <w:p w14:paraId="4492A7A1" w14:textId="77777777" w:rsidR="00380133" w:rsidRDefault="00380133" w:rsidP="00380133">
      <w:pPr>
        <w:rPr>
          <w:sz w:val="24"/>
          <w:szCs w:val="24"/>
        </w:rPr>
      </w:pPr>
      <w:r>
        <w:rPr>
          <w:sz w:val="24"/>
          <w:szCs w:val="24"/>
        </w:rPr>
        <w:t>Dear Ms. Dortch:</w:t>
      </w:r>
    </w:p>
    <w:p w14:paraId="4935A28E" w14:textId="77777777" w:rsidR="00380133" w:rsidRDefault="00380133" w:rsidP="00380133">
      <w:pPr>
        <w:rPr>
          <w:sz w:val="24"/>
          <w:szCs w:val="24"/>
        </w:rPr>
      </w:pPr>
    </w:p>
    <w:p w14:paraId="29AA0B9C" w14:textId="77777777" w:rsidR="00380133" w:rsidRDefault="00380133" w:rsidP="00380133">
      <w:pPr>
        <w:rPr>
          <w:sz w:val="24"/>
          <w:szCs w:val="24"/>
        </w:rPr>
      </w:pPr>
      <w:r>
        <w:rPr>
          <w:sz w:val="24"/>
          <w:szCs w:val="24"/>
        </w:rPr>
        <w:tab/>
        <w:t xml:space="preserve">Enclosed for filing in the </w:t>
      </w:r>
      <w:r w:rsidRPr="005F39A2">
        <w:rPr>
          <w:noProof/>
          <w:sz w:val="24"/>
          <w:szCs w:val="24"/>
        </w:rPr>
        <w:t>above</w:t>
      </w:r>
      <w:r w:rsidR="005F39A2">
        <w:rPr>
          <w:noProof/>
          <w:sz w:val="24"/>
          <w:szCs w:val="24"/>
        </w:rPr>
        <w:t>-</w:t>
      </w:r>
      <w:r w:rsidRPr="005F39A2">
        <w:rPr>
          <w:noProof/>
          <w:sz w:val="24"/>
          <w:szCs w:val="24"/>
        </w:rPr>
        <w:t>referenced</w:t>
      </w:r>
      <w:r>
        <w:rPr>
          <w:sz w:val="24"/>
          <w:szCs w:val="24"/>
        </w:rPr>
        <w:t xml:space="preserve"> </w:t>
      </w:r>
      <w:r w:rsidR="00BD7802">
        <w:rPr>
          <w:sz w:val="24"/>
          <w:szCs w:val="24"/>
        </w:rPr>
        <w:t>Public Notice</w:t>
      </w:r>
      <w:r>
        <w:rPr>
          <w:sz w:val="24"/>
          <w:szCs w:val="24"/>
        </w:rPr>
        <w:t xml:space="preserve"> are reply comments of the Rehabilitation Engineering Research Center for Wireless Inclusive Technologies (Wireless RERC). </w:t>
      </w:r>
    </w:p>
    <w:p w14:paraId="7B8C3A55" w14:textId="77777777" w:rsidR="00380133" w:rsidRDefault="00380133" w:rsidP="00380133">
      <w:pPr>
        <w:rPr>
          <w:sz w:val="24"/>
          <w:szCs w:val="24"/>
        </w:rPr>
      </w:pPr>
    </w:p>
    <w:p w14:paraId="4DA6C6D7" w14:textId="06099170" w:rsidR="00380133" w:rsidRDefault="00380133" w:rsidP="00380133">
      <w:pPr>
        <w:rPr>
          <w:sz w:val="24"/>
          <w:szCs w:val="24"/>
        </w:rPr>
      </w:pPr>
      <w:r>
        <w:rPr>
          <w:sz w:val="24"/>
          <w:szCs w:val="24"/>
        </w:rPr>
        <w:tab/>
        <w:t xml:space="preserve">Should </w:t>
      </w:r>
      <w:r w:rsidRPr="00E35EB0">
        <w:rPr>
          <w:noProof/>
          <w:sz w:val="24"/>
          <w:szCs w:val="24"/>
        </w:rPr>
        <w:t>you</w:t>
      </w:r>
      <w:r>
        <w:rPr>
          <w:sz w:val="24"/>
          <w:szCs w:val="24"/>
        </w:rPr>
        <w:t xml:space="preserve"> have any questions concerning this filing, please do not hesitate to contact </w:t>
      </w:r>
      <w:r w:rsidRPr="00E35EB0">
        <w:rPr>
          <w:noProof/>
          <w:sz w:val="24"/>
          <w:szCs w:val="24"/>
        </w:rPr>
        <w:t>me</w:t>
      </w:r>
      <w:r>
        <w:rPr>
          <w:sz w:val="24"/>
          <w:szCs w:val="24"/>
        </w:rPr>
        <w:t xml:space="preserve"> via email at </w:t>
      </w:r>
      <w:hyperlink r:id="rId9" w:history="1">
        <w:r>
          <w:rPr>
            <w:rStyle w:val="Hyperlink"/>
            <w:sz w:val="24"/>
            <w:szCs w:val="24"/>
          </w:rPr>
          <w:t>helena.mitchell@cacp.gatech.edu</w:t>
        </w:r>
      </w:hyperlink>
      <w:r>
        <w:rPr>
          <w:sz w:val="24"/>
          <w:szCs w:val="24"/>
        </w:rPr>
        <w:t>.</w:t>
      </w:r>
    </w:p>
    <w:p w14:paraId="1226F89B" w14:textId="77777777" w:rsidR="00380133" w:rsidRDefault="00380133" w:rsidP="00380133">
      <w:pPr>
        <w:rPr>
          <w:sz w:val="24"/>
          <w:szCs w:val="24"/>
        </w:rPr>
      </w:pPr>
    </w:p>
    <w:p w14:paraId="7C1C0542" w14:textId="77777777" w:rsidR="00380133" w:rsidRDefault="00380133" w:rsidP="00380133">
      <w:pPr>
        <w:rPr>
          <w:sz w:val="24"/>
          <w:szCs w:val="24"/>
        </w:rPr>
      </w:pPr>
      <w:r>
        <w:rPr>
          <w:sz w:val="24"/>
          <w:szCs w:val="24"/>
        </w:rPr>
        <w:t>Respectfully submitted,</w:t>
      </w:r>
    </w:p>
    <w:p w14:paraId="5A02A298" w14:textId="77777777" w:rsidR="00380133" w:rsidRDefault="00380133" w:rsidP="00380133">
      <w:pPr>
        <w:rPr>
          <w:sz w:val="24"/>
          <w:szCs w:val="24"/>
        </w:rPr>
      </w:pPr>
    </w:p>
    <w:p w14:paraId="32249788" w14:textId="77777777" w:rsidR="00380133" w:rsidRDefault="00380133" w:rsidP="00380133">
      <w:pPr>
        <w:rPr>
          <w:sz w:val="24"/>
          <w:szCs w:val="24"/>
        </w:rPr>
      </w:pPr>
      <w:r>
        <w:rPr>
          <w:noProof/>
          <w:sz w:val="24"/>
          <w:szCs w:val="24"/>
        </w:rPr>
        <w:drawing>
          <wp:inline distT="0" distB="0" distL="0" distR="0" wp14:anchorId="65E612B8" wp14:editId="4668F8DB">
            <wp:extent cx="1287780" cy="297180"/>
            <wp:effectExtent l="0" t="0" r="7620" b="7620"/>
            <wp:docPr id="1" name="Picture 1" descr="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7780" cy="297180"/>
                    </a:xfrm>
                    <a:prstGeom prst="rect">
                      <a:avLst/>
                    </a:prstGeom>
                    <a:noFill/>
                    <a:ln>
                      <a:noFill/>
                    </a:ln>
                  </pic:spPr>
                </pic:pic>
              </a:graphicData>
            </a:graphic>
          </wp:inline>
        </w:drawing>
      </w:r>
    </w:p>
    <w:p w14:paraId="40D60EFA" w14:textId="77777777" w:rsidR="00380133" w:rsidRDefault="00380133" w:rsidP="00380133">
      <w:pPr>
        <w:rPr>
          <w:sz w:val="24"/>
          <w:szCs w:val="24"/>
        </w:rPr>
      </w:pPr>
      <w:r>
        <w:rPr>
          <w:sz w:val="24"/>
          <w:szCs w:val="24"/>
        </w:rPr>
        <w:t>Helena Mitchell</w:t>
      </w:r>
    </w:p>
    <w:p w14:paraId="6F096D1A" w14:textId="77777777" w:rsidR="00380133" w:rsidRDefault="00380133" w:rsidP="00380133">
      <w:pPr>
        <w:rPr>
          <w:sz w:val="24"/>
          <w:szCs w:val="24"/>
        </w:rPr>
      </w:pPr>
      <w:r>
        <w:rPr>
          <w:sz w:val="24"/>
          <w:szCs w:val="24"/>
        </w:rPr>
        <w:t>Principal Investigator, Wireless RERC</w:t>
      </w:r>
    </w:p>
    <w:p w14:paraId="57AB67F1" w14:textId="77777777" w:rsidR="00380133" w:rsidRDefault="00380133" w:rsidP="00380133">
      <w:pPr>
        <w:rPr>
          <w:sz w:val="24"/>
          <w:szCs w:val="24"/>
        </w:rPr>
      </w:pPr>
      <w:r>
        <w:rPr>
          <w:sz w:val="24"/>
          <w:szCs w:val="24"/>
        </w:rPr>
        <w:t>Center for Advanced Communications Policy</w:t>
      </w:r>
    </w:p>
    <w:p w14:paraId="65BF7F29" w14:textId="77777777" w:rsidR="00380133" w:rsidRDefault="00380133" w:rsidP="00380133">
      <w:pPr>
        <w:rPr>
          <w:sz w:val="24"/>
          <w:szCs w:val="24"/>
        </w:rPr>
      </w:pPr>
      <w:r>
        <w:rPr>
          <w:sz w:val="24"/>
          <w:szCs w:val="24"/>
        </w:rPr>
        <w:t>Georgia Institute of Technology</w:t>
      </w:r>
    </w:p>
    <w:p w14:paraId="7E7E3656" w14:textId="77777777" w:rsidR="00380133" w:rsidRDefault="00380133" w:rsidP="00380133">
      <w:pPr>
        <w:rPr>
          <w:sz w:val="24"/>
          <w:szCs w:val="24"/>
        </w:rPr>
      </w:pPr>
    </w:p>
    <w:p w14:paraId="4AF77767" w14:textId="77777777" w:rsidR="00380133" w:rsidRDefault="00380133" w:rsidP="00380133">
      <w:pPr>
        <w:rPr>
          <w:sz w:val="24"/>
          <w:szCs w:val="24"/>
        </w:rPr>
      </w:pPr>
    </w:p>
    <w:p w14:paraId="12AC957E" w14:textId="77777777" w:rsidR="00380133" w:rsidRDefault="00380133" w:rsidP="00380133">
      <w:pPr>
        <w:rPr>
          <w:rFonts w:ascii="Times New Roman Bold" w:hAnsi="Times New Roman Bold"/>
          <w:b/>
        </w:rPr>
      </w:pPr>
      <w:r>
        <w:rPr>
          <w:sz w:val="24"/>
          <w:szCs w:val="24"/>
        </w:rPr>
        <w:t>Enclosure</w:t>
      </w:r>
      <w:r>
        <w:rPr>
          <w:rFonts w:ascii="Times New Roman Bold" w:hAnsi="Times New Roman Bold"/>
          <w:b/>
        </w:rPr>
        <w:br w:type="page"/>
      </w:r>
    </w:p>
    <w:p w14:paraId="01EFCBE8" w14:textId="77777777" w:rsidR="008E514F" w:rsidRDefault="008E514F" w:rsidP="008E514F">
      <w:pPr>
        <w:jc w:val="center"/>
        <w:rPr>
          <w:b/>
          <w:snapToGrid/>
        </w:rPr>
      </w:pPr>
      <w:r>
        <w:rPr>
          <w:rFonts w:ascii="Times New Roman Bold" w:hAnsi="Times New Roman Bold"/>
          <w:b/>
        </w:rPr>
        <w:lastRenderedPageBreak/>
        <w:t>Before</w:t>
      </w:r>
      <w:r>
        <w:rPr>
          <w:b/>
        </w:rPr>
        <w:t xml:space="preserve"> the</w:t>
      </w:r>
    </w:p>
    <w:p w14:paraId="676E418B" w14:textId="77777777" w:rsidR="008E514F" w:rsidRDefault="008E514F" w:rsidP="008E514F">
      <w:pPr>
        <w:pStyle w:val="StyleBoldCentered"/>
      </w:pPr>
      <w:r>
        <w:t>F</w:t>
      </w:r>
      <w:r>
        <w:rPr>
          <w:caps w:val="0"/>
        </w:rPr>
        <w:t>ederal Communications Commission</w:t>
      </w:r>
    </w:p>
    <w:p w14:paraId="0BD56F88" w14:textId="77777777" w:rsidR="008E514F" w:rsidRDefault="008E514F" w:rsidP="008E514F">
      <w:pPr>
        <w:pStyle w:val="StyleBoldCentered"/>
      </w:pPr>
      <w:r>
        <w:rPr>
          <w:caps w:val="0"/>
        </w:rPr>
        <w:t>Washington, D.C. 20554</w:t>
      </w:r>
    </w:p>
    <w:p w14:paraId="16246C75" w14:textId="77777777" w:rsidR="008E514F" w:rsidRDefault="008E514F" w:rsidP="008E514F"/>
    <w:p w14:paraId="0E6172E3" w14:textId="77777777" w:rsidR="008E514F" w:rsidRDefault="008E514F" w:rsidP="008E514F"/>
    <w:tbl>
      <w:tblPr>
        <w:tblW w:w="0" w:type="auto"/>
        <w:tblLayout w:type="fixed"/>
        <w:tblLook w:val="04A0" w:firstRow="1" w:lastRow="0" w:firstColumn="1" w:lastColumn="0" w:noHBand="0" w:noVBand="1"/>
      </w:tblPr>
      <w:tblGrid>
        <w:gridCol w:w="4698"/>
        <w:gridCol w:w="630"/>
        <w:gridCol w:w="4248"/>
      </w:tblGrid>
      <w:tr w:rsidR="008E514F" w14:paraId="711E23EE" w14:textId="77777777" w:rsidTr="008E514F">
        <w:tc>
          <w:tcPr>
            <w:tcW w:w="4698" w:type="dxa"/>
          </w:tcPr>
          <w:p w14:paraId="4B8132A6" w14:textId="77777777" w:rsidR="008E514F" w:rsidRDefault="008E514F">
            <w:pPr>
              <w:tabs>
                <w:tab w:val="center" w:pos="4680"/>
              </w:tabs>
              <w:suppressAutoHyphens/>
              <w:rPr>
                <w:spacing w:val="-2"/>
              </w:rPr>
            </w:pPr>
            <w:r>
              <w:rPr>
                <w:spacing w:val="-2"/>
              </w:rPr>
              <w:t>In the Matter of</w:t>
            </w:r>
          </w:p>
          <w:p w14:paraId="3680EF62" w14:textId="77777777" w:rsidR="008E514F" w:rsidRDefault="008E514F">
            <w:pPr>
              <w:tabs>
                <w:tab w:val="center" w:pos="4680"/>
              </w:tabs>
              <w:suppressAutoHyphens/>
              <w:rPr>
                <w:spacing w:val="-2"/>
              </w:rPr>
            </w:pPr>
          </w:p>
          <w:p w14:paraId="0B6C5DB8" w14:textId="77777777" w:rsidR="008E514F" w:rsidRPr="00BD7802" w:rsidRDefault="00BD7802">
            <w:pPr>
              <w:tabs>
                <w:tab w:val="center" w:pos="4680"/>
              </w:tabs>
              <w:suppressAutoHyphens/>
              <w:rPr>
                <w:spacing w:val="-2"/>
              </w:rPr>
            </w:pPr>
            <w:r w:rsidRPr="00BD7802">
              <w:rPr>
                <w:spacing w:val="-2"/>
              </w:rPr>
              <w:t>Improving The Wireless Resiliency Cooperative Framework</w:t>
            </w:r>
          </w:p>
        </w:tc>
        <w:tc>
          <w:tcPr>
            <w:tcW w:w="630" w:type="dxa"/>
            <w:hideMark/>
          </w:tcPr>
          <w:p w14:paraId="57540A86" w14:textId="77777777" w:rsidR="008E514F" w:rsidRDefault="008E514F">
            <w:pPr>
              <w:tabs>
                <w:tab w:val="center" w:pos="4680"/>
              </w:tabs>
              <w:suppressAutoHyphens/>
              <w:rPr>
                <w:b/>
                <w:spacing w:val="-2"/>
              </w:rPr>
            </w:pPr>
            <w:r>
              <w:rPr>
                <w:b/>
                <w:spacing w:val="-2"/>
              </w:rPr>
              <w:t>)</w:t>
            </w:r>
          </w:p>
          <w:p w14:paraId="4E2496BD" w14:textId="77777777" w:rsidR="008E514F" w:rsidRDefault="008E514F">
            <w:pPr>
              <w:tabs>
                <w:tab w:val="center" w:pos="4680"/>
              </w:tabs>
              <w:suppressAutoHyphens/>
              <w:rPr>
                <w:b/>
                <w:spacing w:val="-2"/>
              </w:rPr>
            </w:pPr>
            <w:r>
              <w:rPr>
                <w:b/>
                <w:spacing w:val="-2"/>
              </w:rPr>
              <w:t>)</w:t>
            </w:r>
          </w:p>
          <w:p w14:paraId="6CB7A540" w14:textId="77777777" w:rsidR="008E514F" w:rsidRDefault="008E514F">
            <w:pPr>
              <w:tabs>
                <w:tab w:val="center" w:pos="4680"/>
              </w:tabs>
              <w:suppressAutoHyphens/>
              <w:rPr>
                <w:b/>
                <w:spacing w:val="-2"/>
              </w:rPr>
            </w:pPr>
            <w:r>
              <w:rPr>
                <w:b/>
                <w:spacing w:val="-2"/>
              </w:rPr>
              <w:t>)</w:t>
            </w:r>
          </w:p>
          <w:p w14:paraId="5C4B8B39" w14:textId="77777777" w:rsidR="008E514F" w:rsidRDefault="008E514F">
            <w:pPr>
              <w:tabs>
                <w:tab w:val="center" w:pos="4680"/>
              </w:tabs>
              <w:suppressAutoHyphens/>
              <w:rPr>
                <w:b/>
                <w:spacing w:val="-2"/>
              </w:rPr>
            </w:pPr>
            <w:r>
              <w:rPr>
                <w:b/>
                <w:spacing w:val="-2"/>
              </w:rPr>
              <w:t>)</w:t>
            </w:r>
          </w:p>
          <w:p w14:paraId="5928F707" w14:textId="77777777" w:rsidR="008E514F" w:rsidRDefault="008E514F">
            <w:pPr>
              <w:tabs>
                <w:tab w:val="center" w:pos="4680"/>
              </w:tabs>
              <w:suppressAutoHyphens/>
              <w:rPr>
                <w:b/>
                <w:spacing w:val="-2"/>
              </w:rPr>
            </w:pPr>
            <w:r>
              <w:rPr>
                <w:b/>
                <w:spacing w:val="-2"/>
              </w:rPr>
              <w:t>)</w:t>
            </w:r>
          </w:p>
        </w:tc>
        <w:tc>
          <w:tcPr>
            <w:tcW w:w="4248" w:type="dxa"/>
          </w:tcPr>
          <w:p w14:paraId="1399A1E9" w14:textId="77777777" w:rsidR="008E514F" w:rsidRPr="00BD7802" w:rsidRDefault="008E514F">
            <w:pPr>
              <w:tabs>
                <w:tab w:val="center" w:pos="4680"/>
              </w:tabs>
              <w:suppressAutoHyphens/>
              <w:rPr>
                <w:spacing w:val="-2"/>
              </w:rPr>
            </w:pPr>
          </w:p>
          <w:p w14:paraId="07E51D5F" w14:textId="77777777" w:rsidR="008E514F" w:rsidRPr="00BD7802" w:rsidRDefault="008E514F">
            <w:pPr>
              <w:pStyle w:val="TOAHeading"/>
              <w:tabs>
                <w:tab w:val="center" w:pos="4680"/>
              </w:tabs>
              <w:rPr>
                <w:spacing w:val="-2"/>
              </w:rPr>
            </w:pPr>
          </w:p>
          <w:p w14:paraId="7BA4820D" w14:textId="77777777" w:rsidR="008E514F" w:rsidRPr="00BD7802" w:rsidRDefault="00BD7802">
            <w:pPr>
              <w:tabs>
                <w:tab w:val="center" w:pos="4680"/>
              </w:tabs>
              <w:suppressAutoHyphens/>
              <w:rPr>
                <w:spacing w:val="-2"/>
              </w:rPr>
            </w:pPr>
            <w:r w:rsidRPr="00BD7802">
              <w:rPr>
                <w:spacing w:val="-2"/>
              </w:rPr>
              <w:t>PS Docket No. 11-60</w:t>
            </w:r>
          </w:p>
        </w:tc>
      </w:tr>
    </w:tbl>
    <w:p w14:paraId="2C55615D" w14:textId="77777777" w:rsidR="008E514F" w:rsidRDefault="008E514F" w:rsidP="00C943D8"/>
    <w:p w14:paraId="62850905" w14:textId="77777777" w:rsidR="00C943D8" w:rsidRDefault="00C943D8" w:rsidP="00C943D8"/>
    <w:p w14:paraId="24B7F5A9" w14:textId="77777777" w:rsidR="00AF431A" w:rsidRPr="004D248E" w:rsidRDefault="00A05543" w:rsidP="00AF431A">
      <w:pPr>
        <w:tabs>
          <w:tab w:val="left" w:pos="-720"/>
        </w:tabs>
        <w:spacing w:line="227" w:lineRule="auto"/>
        <w:jc w:val="center"/>
        <w:rPr>
          <w:rFonts w:ascii="Corbel" w:hAnsi="Corbel"/>
          <w:bCs/>
          <w:caps/>
          <w:sz w:val="24"/>
          <w:szCs w:val="24"/>
        </w:rPr>
      </w:pPr>
      <w:bookmarkStart w:id="0" w:name="_Toc489887165"/>
      <w:bookmarkStart w:id="1" w:name="_Toc486235563"/>
      <w:bookmarkStart w:id="2" w:name="_Toc485310985"/>
      <w:bookmarkStart w:id="3" w:name="_Toc484707191"/>
      <w:bookmarkStart w:id="4" w:name="_Toc484707089"/>
      <w:bookmarkStart w:id="5" w:name="_Toc484110100"/>
      <w:bookmarkStart w:id="6" w:name="_Toc484109962"/>
      <w:bookmarkStart w:id="7" w:name="_Toc484109851"/>
      <w:bookmarkStart w:id="8" w:name="_Toc484104820"/>
      <w:bookmarkStart w:id="9" w:name="_Toc484104693"/>
      <w:bookmarkStart w:id="10" w:name="_Toc483994551"/>
      <w:bookmarkStart w:id="11" w:name="_Toc483932297"/>
      <w:bookmarkStart w:id="12" w:name="_Toc483404258"/>
      <w:bookmarkStart w:id="13" w:name="_Toc483404155"/>
      <w:bookmarkStart w:id="14" w:name="_Toc482975964"/>
      <w:bookmarkStart w:id="15" w:name="_Toc485119872"/>
      <w:bookmarkStart w:id="16" w:name="_Toc485658512"/>
      <w:bookmarkStart w:id="17" w:name="_Toc486235011"/>
      <w:bookmarkStart w:id="18" w:name="_Toc489890197"/>
      <w:bookmarkStart w:id="19" w:name="_Toc482630257"/>
      <w:bookmarkStart w:id="20" w:name="_Toc482630101"/>
      <w:bookmarkStart w:id="21" w:name="_Toc482629905"/>
      <w:bookmarkStart w:id="22" w:name="_Toc482629817"/>
      <w:bookmarkStart w:id="23" w:name="_Toc482629821"/>
      <w:bookmarkStart w:id="24" w:name="_Toc482629909"/>
      <w:bookmarkStart w:id="25" w:name="_Toc482630106"/>
      <w:bookmarkStart w:id="26" w:name="_Toc482630264"/>
      <w:bookmarkStart w:id="27" w:name="_Toc482975975"/>
      <w:r>
        <w:rPr>
          <w:rFonts w:ascii="Corbel" w:hAnsi="Corbel"/>
          <w:bCs/>
          <w:caps/>
          <w:sz w:val="24"/>
          <w:szCs w:val="24"/>
        </w:rPr>
        <w:t xml:space="preserve">Reply </w:t>
      </w:r>
      <w:r w:rsidR="00AF431A" w:rsidRPr="004D248E">
        <w:rPr>
          <w:rFonts w:ascii="Corbel" w:hAnsi="Corbel"/>
          <w:bCs/>
          <w:caps/>
          <w:sz w:val="24"/>
          <w:szCs w:val="24"/>
        </w:rPr>
        <w:t>COMMENTS OF</w:t>
      </w:r>
    </w:p>
    <w:p w14:paraId="40581D00" w14:textId="77777777" w:rsidR="00AF431A" w:rsidRPr="004D248E" w:rsidRDefault="00AF431A" w:rsidP="00AF431A">
      <w:pPr>
        <w:tabs>
          <w:tab w:val="left" w:pos="-720"/>
        </w:tabs>
        <w:spacing w:line="227" w:lineRule="auto"/>
        <w:jc w:val="center"/>
        <w:rPr>
          <w:rFonts w:ascii="Corbel" w:hAnsi="Corbel"/>
          <w:bCs/>
          <w:caps/>
          <w:sz w:val="24"/>
          <w:szCs w:val="24"/>
        </w:rPr>
      </w:pPr>
      <w:r w:rsidRPr="004D248E">
        <w:rPr>
          <w:rFonts w:ascii="Corbel" w:hAnsi="Corbel"/>
          <w:bCs/>
          <w:caps/>
          <w:sz w:val="24"/>
          <w:szCs w:val="24"/>
        </w:rPr>
        <w:t>GEORGIA iNSTITUTE OF TECHNOLOGY (gEORGIA TECH), Center for Advanced Communications Policy (CACP)</w:t>
      </w:r>
    </w:p>
    <w:p w14:paraId="0F5D6338" w14:textId="77777777" w:rsidR="00AF431A" w:rsidRPr="004D248E" w:rsidRDefault="00AF431A" w:rsidP="00AF431A">
      <w:pPr>
        <w:tabs>
          <w:tab w:val="left" w:pos="-720"/>
        </w:tabs>
        <w:spacing w:line="227" w:lineRule="auto"/>
        <w:jc w:val="center"/>
        <w:rPr>
          <w:rFonts w:ascii="Corbel" w:hAnsi="Corbel"/>
          <w:bCs/>
          <w:caps/>
          <w:sz w:val="24"/>
          <w:szCs w:val="24"/>
        </w:rPr>
      </w:pPr>
      <w:r w:rsidRPr="00E35EB0">
        <w:rPr>
          <w:rFonts w:ascii="Corbel" w:hAnsi="Corbel"/>
          <w:bCs/>
          <w:caps/>
          <w:noProof/>
          <w:sz w:val="24"/>
          <w:szCs w:val="24"/>
        </w:rPr>
        <w:t>and THE</w:t>
      </w:r>
      <w:r w:rsidRPr="004D248E">
        <w:rPr>
          <w:rFonts w:ascii="Corbel" w:hAnsi="Corbel"/>
          <w:bCs/>
          <w:caps/>
          <w:sz w:val="24"/>
          <w:szCs w:val="24"/>
        </w:rPr>
        <w:t xml:space="preserve"> REHABILITATION ENGINEERING RESEARCH CENTER FOR</w:t>
      </w:r>
    </w:p>
    <w:p w14:paraId="0CB40322" w14:textId="77777777" w:rsidR="00AF431A" w:rsidRPr="004D248E" w:rsidRDefault="00AF431A" w:rsidP="00AF431A">
      <w:pPr>
        <w:tabs>
          <w:tab w:val="left" w:pos="-720"/>
        </w:tabs>
        <w:spacing w:line="227" w:lineRule="auto"/>
        <w:jc w:val="center"/>
        <w:rPr>
          <w:rFonts w:ascii="Corbel" w:hAnsi="Corbel"/>
          <w:bCs/>
          <w:caps/>
          <w:sz w:val="24"/>
          <w:szCs w:val="24"/>
        </w:rPr>
      </w:pPr>
      <w:r w:rsidRPr="004D248E">
        <w:rPr>
          <w:rFonts w:ascii="Corbel" w:hAnsi="Corbel"/>
          <w:bCs/>
          <w:caps/>
          <w:sz w:val="24"/>
          <w:szCs w:val="24"/>
        </w:rPr>
        <w:t xml:space="preserve">WIRELESS Inclusive TECHNOLOGIES (WIRELESS RERC) </w:t>
      </w:r>
    </w:p>
    <w:p w14:paraId="70E8F422" w14:textId="77777777" w:rsidR="00AF431A" w:rsidRDefault="00AF431A" w:rsidP="00563A06">
      <w:pPr>
        <w:pStyle w:val="Heading2"/>
      </w:pPr>
    </w:p>
    <w:p w14:paraId="33EAB2D0" w14:textId="77777777" w:rsidR="00486CDF" w:rsidRPr="00F516AD" w:rsidRDefault="00B66683" w:rsidP="00F516AD">
      <w:pPr>
        <w:pStyle w:val="ParaNum"/>
        <w:numPr>
          <w:ilvl w:val="0"/>
          <w:numId w:val="0"/>
        </w:numPr>
        <w:spacing w:after="0" w:line="480" w:lineRule="exact"/>
        <w:ind w:firstLine="720"/>
        <w:rPr>
          <w:sz w:val="24"/>
          <w:szCs w:val="24"/>
        </w:rPr>
      </w:pPr>
      <w:r w:rsidRPr="00F516AD">
        <w:rPr>
          <w:sz w:val="24"/>
          <w:szCs w:val="24"/>
        </w:rPr>
        <w:t>Georgia Tech’s Center for Advanced Communications Policy (CACP) in collaboration with the Rehabilitation Engineering Research Center for Wireless Inclusive Technologies</w:t>
      </w:r>
      <w:r w:rsidR="00380133" w:rsidRPr="00F516AD">
        <w:rPr>
          <w:rStyle w:val="FootnoteReference"/>
          <w:sz w:val="24"/>
          <w:szCs w:val="24"/>
        </w:rPr>
        <w:footnoteReference w:id="2"/>
      </w:r>
      <w:r w:rsidRPr="00F516AD">
        <w:rPr>
          <w:sz w:val="24"/>
          <w:szCs w:val="24"/>
        </w:rPr>
        <w:t xml:space="preserve"> (Wireless RERC) </w:t>
      </w:r>
      <w:r w:rsidRPr="00F516AD">
        <w:rPr>
          <w:noProof/>
          <w:sz w:val="24"/>
          <w:szCs w:val="24"/>
        </w:rPr>
        <w:t>hereby</w:t>
      </w:r>
      <w:r w:rsidRPr="00F516AD">
        <w:rPr>
          <w:sz w:val="24"/>
          <w:szCs w:val="24"/>
        </w:rPr>
        <w:t xml:space="preserve"> submits</w:t>
      </w:r>
      <w:r w:rsidR="00486CDF" w:rsidRPr="00F516AD">
        <w:rPr>
          <w:sz w:val="24"/>
          <w:szCs w:val="24"/>
        </w:rPr>
        <w:t xml:space="preserve"> reply</w:t>
      </w:r>
      <w:r w:rsidRPr="00F516AD">
        <w:rPr>
          <w:sz w:val="24"/>
          <w:szCs w:val="24"/>
        </w:rPr>
        <w:t xml:space="preserve"> comments in the above-referenced </w:t>
      </w:r>
      <w:r w:rsidR="00BD7802" w:rsidRPr="00F516AD">
        <w:rPr>
          <w:i/>
          <w:sz w:val="24"/>
          <w:szCs w:val="24"/>
        </w:rPr>
        <w:t>Public Notice</w:t>
      </w:r>
      <w:r w:rsidRPr="00F516AD">
        <w:rPr>
          <w:sz w:val="24"/>
          <w:szCs w:val="24"/>
        </w:rPr>
        <w:t xml:space="preserve"> released on </w:t>
      </w:r>
      <w:r w:rsidR="00BD7802" w:rsidRPr="00F516AD">
        <w:rPr>
          <w:sz w:val="24"/>
          <w:szCs w:val="24"/>
        </w:rPr>
        <w:t>April</w:t>
      </w:r>
      <w:r w:rsidRPr="00F516AD">
        <w:rPr>
          <w:sz w:val="24"/>
          <w:szCs w:val="24"/>
        </w:rPr>
        <w:t xml:space="preserve"> </w:t>
      </w:r>
      <w:r w:rsidR="00BD7802" w:rsidRPr="00F516AD">
        <w:rPr>
          <w:sz w:val="24"/>
          <w:szCs w:val="24"/>
        </w:rPr>
        <w:t>1</w:t>
      </w:r>
      <w:r w:rsidRPr="00F516AD">
        <w:rPr>
          <w:sz w:val="24"/>
          <w:szCs w:val="24"/>
        </w:rPr>
        <w:t>, 201</w:t>
      </w:r>
      <w:r w:rsidR="00BD7802" w:rsidRPr="00F516AD">
        <w:rPr>
          <w:sz w:val="24"/>
          <w:szCs w:val="24"/>
        </w:rPr>
        <w:t>9</w:t>
      </w:r>
      <w:r w:rsidRPr="00F516AD">
        <w:rPr>
          <w:sz w:val="24"/>
          <w:szCs w:val="24"/>
        </w:rPr>
        <w:t xml:space="preserve">.  CACP </w:t>
      </w:r>
      <w:r w:rsidRPr="00F516AD">
        <w:rPr>
          <w:noProof/>
          <w:sz w:val="24"/>
          <w:szCs w:val="24"/>
        </w:rPr>
        <w:t>is recognized</w:t>
      </w:r>
      <w:r w:rsidRPr="00F516AD">
        <w:rPr>
          <w:sz w:val="24"/>
          <w:szCs w:val="24"/>
        </w:rPr>
        <w:t xml:space="preserve"> at the state and national level as a neutral authority that monitors and assesses technical </w:t>
      </w:r>
      <w:r w:rsidRPr="00F516AD">
        <w:rPr>
          <w:noProof/>
          <w:sz w:val="24"/>
          <w:szCs w:val="24"/>
        </w:rPr>
        <w:t>developments,</w:t>
      </w:r>
      <w:r w:rsidRPr="00F516AD">
        <w:rPr>
          <w:sz w:val="24"/>
          <w:szCs w:val="24"/>
        </w:rPr>
        <w:t xml:space="preserve"> identifies future </w:t>
      </w:r>
      <w:r w:rsidRPr="00F516AD">
        <w:rPr>
          <w:noProof/>
          <w:sz w:val="24"/>
          <w:szCs w:val="24"/>
        </w:rPr>
        <w:t>options,</w:t>
      </w:r>
      <w:r w:rsidRPr="00F516AD">
        <w:rPr>
          <w:sz w:val="24"/>
          <w:szCs w:val="24"/>
        </w:rPr>
        <w:t xml:space="preserve"> and provides insights into related legislative and regulatory issues. CACP evaluates technological trends that can impact issues as diverse as wearable technologies, </w:t>
      </w:r>
      <w:r w:rsidR="00281D8C" w:rsidRPr="00F516AD">
        <w:rPr>
          <w:sz w:val="24"/>
          <w:szCs w:val="24"/>
        </w:rPr>
        <w:t xml:space="preserve">the Internet of Things, </w:t>
      </w:r>
      <w:r w:rsidR="00E35EB0" w:rsidRPr="00F516AD">
        <w:rPr>
          <w:sz w:val="24"/>
          <w:szCs w:val="24"/>
        </w:rPr>
        <w:t>emergency communications</w:t>
      </w:r>
      <w:r w:rsidR="00E35EB0" w:rsidRPr="00F516AD">
        <w:rPr>
          <w:noProof/>
          <w:sz w:val="24"/>
          <w:szCs w:val="24"/>
        </w:rPr>
        <w:t xml:space="preserve">, and </w:t>
      </w:r>
      <w:r w:rsidRPr="00F516AD">
        <w:rPr>
          <w:noProof/>
          <w:sz w:val="24"/>
          <w:szCs w:val="24"/>
        </w:rPr>
        <w:t>communications</w:t>
      </w:r>
      <w:r w:rsidRPr="00F516AD">
        <w:rPr>
          <w:sz w:val="24"/>
          <w:szCs w:val="24"/>
        </w:rPr>
        <w:t xml:space="preserve"> and technology access by people with disabilities. </w:t>
      </w:r>
    </w:p>
    <w:p w14:paraId="4DDAB625" w14:textId="77777777" w:rsidR="00991CC2" w:rsidRPr="00F516AD" w:rsidRDefault="00B66683" w:rsidP="00F516AD">
      <w:pPr>
        <w:pStyle w:val="ParaNum"/>
        <w:numPr>
          <w:ilvl w:val="0"/>
          <w:numId w:val="0"/>
        </w:numPr>
        <w:spacing w:after="0" w:line="480" w:lineRule="exact"/>
        <w:ind w:firstLine="720"/>
        <w:rPr>
          <w:sz w:val="24"/>
          <w:szCs w:val="24"/>
        </w:rPr>
      </w:pPr>
      <w:r w:rsidRPr="00F516AD">
        <w:rPr>
          <w:sz w:val="24"/>
          <w:szCs w:val="24"/>
        </w:rPr>
        <w:t xml:space="preserve">CACP is the home of the Wireless RERC.  The Wireless RERC mission is </w:t>
      </w:r>
      <w:r w:rsidRPr="00F516AD">
        <w:rPr>
          <w:i/>
          <w:sz w:val="24"/>
          <w:szCs w:val="24"/>
        </w:rPr>
        <w:t>t</w:t>
      </w:r>
      <w:r w:rsidRPr="00F516AD">
        <w:rPr>
          <w:i/>
          <w:iCs/>
          <w:sz w:val="24"/>
          <w:szCs w:val="24"/>
        </w:rPr>
        <w:t>o integrate established wireless technologies with emerging wirelessly connected devices and services for a transformative future where individuals with disabilities achieve independence, improved quality of life, and enhanced community participation.</w:t>
      </w:r>
      <w:r w:rsidRPr="00F516AD">
        <w:rPr>
          <w:sz w:val="24"/>
          <w:szCs w:val="24"/>
        </w:rPr>
        <w:t xml:space="preserve"> </w:t>
      </w:r>
      <w:r w:rsidR="004E603E" w:rsidRPr="00F516AD">
        <w:rPr>
          <w:sz w:val="24"/>
          <w:szCs w:val="24"/>
        </w:rPr>
        <w:t xml:space="preserve">Over the past 18 years, subject matter experts at CACP and the Wireless RERC have been actively involved with research and regulatory issues </w:t>
      </w:r>
      <w:r w:rsidR="004E603E" w:rsidRPr="00F516AD">
        <w:rPr>
          <w:sz w:val="24"/>
          <w:szCs w:val="24"/>
          <w:lang w:val="en"/>
        </w:rPr>
        <w:t xml:space="preserve">concerning accessible wireless technologies and services. Additionally, both entities have been </w:t>
      </w:r>
      <w:r w:rsidR="004E603E" w:rsidRPr="00F516AD">
        <w:rPr>
          <w:sz w:val="24"/>
          <w:szCs w:val="24"/>
          <w:lang w:val="en"/>
        </w:rPr>
        <w:lastRenderedPageBreak/>
        <w:t xml:space="preserve">studying the accessibility of technologies and services used in the emergency communications domain. </w:t>
      </w:r>
      <w:r w:rsidR="00991CC2" w:rsidRPr="00F516AD">
        <w:rPr>
          <w:sz w:val="24"/>
          <w:szCs w:val="24"/>
        </w:rPr>
        <w:t xml:space="preserve">The comments respectfully submitted below are based on subject matter expertise developed over the past 18 years.  Findings from our consumer surveys and focus groups, policy research, and development efforts inform the recommendations made herein.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14:paraId="033F06A5" w14:textId="77777777" w:rsidR="00F6523C" w:rsidRDefault="00F6523C" w:rsidP="00F516AD">
      <w:pPr>
        <w:pStyle w:val="ParaNum"/>
        <w:numPr>
          <w:ilvl w:val="0"/>
          <w:numId w:val="0"/>
        </w:numPr>
        <w:spacing w:after="0" w:line="480" w:lineRule="exact"/>
        <w:rPr>
          <w:b/>
          <w:noProof/>
          <w:sz w:val="24"/>
          <w:szCs w:val="24"/>
        </w:rPr>
      </w:pPr>
    </w:p>
    <w:p w14:paraId="5A8A8873" w14:textId="59FE1380" w:rsidR="00E7023A" w:rsidRPr="00F516AD" w:rsidRDefault="00A05543" w:rsidP="00F516AD">
      <w:pPr>
        <w:pStyle w:val="ParaNum"/>
        <w:numPr>
          <w:ilvl w:val="0"/>
          <w:numId w:val="0"/>
        </w:numPr>
        <w:spacing w:after="0" w:line="480" w:lineRule="exact"/>
        <w:rPr>
          <w:b/>
          <w:sz w:val="24"/>
          <w:szCs w:val="24"/>
        </w:rPr>
      </w:pPr>
      <w:r w:rsidRPr="00F516AD">
        <w:rPr>
          <w:b/>
          <w:noProof/>
          <w:sz w:val="24"/>
          <w:szCs w:val="24"/>
        </w:rPr>
        <w:t xml:space="preserve">Reply to comments made </w:t>
      </w:r>
      <w:r w:rsidR="005359A4" w:rsidRPr="00F516AD">
        <w:rPr>
          <w:b/>
          <w:noProof/>
          <w:sz w:val="24"/>
          <w:szCs w:val="24"/>
        </w:rPr>
        <w:t>by CTIA</w:t>
      </w:r>
      <w:r w:rsidR="00E7023A" w:rsidRPr="00F516AD">
        <w:rPr>
          <w:b/>
          <w:noProof/>
          <w:sz w:val="24"/>
          <w:szCs w:val="24"/>
        </w:rPr>
        <w:t>.</w:t>
      </w:r>
    </w:p>
    <w:p w14:paraId="0FA189E8" w14:textId="2F1238FF" w:rsidR="00C342C7" w:rsidRPr="00F516AD" w:rsidRDefault="00267F76" w:rsidP="00F516AD">
      <w:pPr>
        <w:spacing w:line="480" w:lineRule="exact"/>
        <w:ind w:firstLine="720"/>
        <w:rPr>
          <w:noProof/>
          <w:sz w:val="24"/>
          <w:szCs w:val="24"/>
        </w:rPr>
      </w:pPr>
      <w:r w:rsidRPr="00F516AD">
        <w:rPr>
          <w:sz w:val="24"/>
          <w:szCs w:val="24"/>
          <w:lang w:val="en"/>
        </w:rPr>
        <w:t xml:space="preserve">The Wireless RERC concurs with comments made by </w:t>
      </w:r>
      <w:r w:rsidR="00281D8C" w:rsidRPr="00F516AD">
        <w:rPr>
          <w:sz w:val="24"/>
          <w:szCs w:val="24"/>
          <w:lang w:val="en"/>
        </w:rPr>
        <w:t>CTIA,</w:t>
      </w:r>
      <w:r w:rsidRPr="00F516AD">
        <w:rPr>
          <w:sz w:val="24"/>
          <w:szCs w:val="24"/>
          <w:lang w:val="en"/>
        </w:rPr>
        <w:t xml:space="preserve"> </w:t>
      </w:r>
      <w:r w:rsidR="00B92158" w:rsidRPr="00F516AD">
        <w:rPr>
          <w:sz w:val="24"/>
          <w:szCs w:val="24"/>
          <w:lang w:val="en"/>
        </w:rPr>
        <w:t>maintaining that the Wireless Resiliency Cooperative Framework</w:t>
      </w:r>
      <w:r w:rsidR="00281D8C" w:rsidRPr="00F516AD">
        <w:rPr>
          <w:sz w:val="24"/>
          <w:szCs w:val="24"/>
          <w:lang w:val="en"/>
        </w:rPr>
        <w:t xml:space="preserve"> (Framework)</w:t>
      </w:r>
      <w:r w:rsidR="00B92158" w:rsidRPr="00F516AD">
        <w:rPr>
          <w:sz w:val="24"/>
          <w:szCs w:val="24"/>
          <w:lang w:val="en"/>
        </w:rPr>
        <w:t xml:space="preserve"> has been an effective tool for preparedness, response</w:t>
      </w:r>
      <w:r w:rsidR="008300DA" w:rsidRPr="00F516AD">
        <w:rPr>
          <w:sz w:val="24"/>
          <w:szCs w:val="24"/>
          <w:lang w:val="en"/>
        </w:rPr>
        <w:t xml:space="preserve">, </w:t>
      </w:r>
      <w:r w:rsidR="00B92158" w:rsidRPr="00F516AD">
        <w:rPr>
          <w:sz w:val="24"/>
          <w:szCs w:val="24"/>
          <w:lang w:val="en"/>
        </w:rPr>
        <w:t>recovery</w:t>
      </w:r>
      <w:r w:rsidR="008300DA" w:rsidRPr="00F516AD">
        <w:rPr>
          <w:sz w:val="24"/>
          <w:szCs w:val="24"/>
          <w:lang w:val="en"/>
        </w:rPr>
        <w:t>, and relief</w:t>
      </w:r>
      <w:r w:rsidR="00B92158" w:rsidRPr="00F516AD">
        <w:rPr>
          <w:sz w:val="24"/>
          <w:szCs w:val="24"/>
          <w:lang w:val="en"/>
        </w:rPr>
        <w:t xml:space="preserve"> efforts</w:t>
      </w:r>
      <w:r w:rsidR="002E467E" w:rsidRPr="00F516AD">
        <w:rPr>
          <w:sz w:val="24"/>
          <w:szCs w:val="24"/>
          <w:lang w:val="en"/>
        </w:rPr>
        <w:t xml:space="preserve">. </w:t>
      </w:r>
      <w:r w:rsidR="002E467E" w:rsidRPr="00F516AD">
        <w:rPr>
          <w:noProof/>
          <w:sz w:val="24"/>
          <w:szCs w:val="24"/>
        </w:rPr>
        <w:t xml:space="preserve">As per CTIA’s comments in response to the Hurricane Response Public Notice, the wireless networks demonstrated </w:t>
      </w:r>
      <w:r w:rsidR="00466E98" w:rsidRPr="00F516AD">
        <w:rPr>
          <w:noProof/>
          <w:sz w:val="24"/>
          <w:szCs w:val="24"/>
        </w:rPr>
        <w:t>preparedness and mitigation efforts to maintain service during the hurricanes, and the towers by and large durably resisted the hurricane winds.</w:t>
      </w:r>
      <w:r w:rsidR="00466E98" w:rsidRPr="00F516AD">
        <w:rPr>
          <w:noProof/>
          <w:sz w:val="24"/>
          <w:szCs w:val="24"/>
          <w:vertAlign w:val="superscript"/>
        </w:rPr>
        <w:footnoteReference w:id="3"/>
      </w:r>
      <w:r w:rsidR="00466E98" w:rsidRPr="00F516AD">
        <w:rPr>
          <w:noProof/>
          <w:sz w:val="24"/>
          <w:szCs w:val="24"/>
        </w:rPr>
        <w:t xml:space="preserve"> For example, Verizon reported that 98% of their towers in the impacted areas of Texas maintained functionality, while T-Mobile reported 85% of their towers remained operational. Further, service restoration in many cases was reportedly expedient. When it was not, other factors, not attributable to the wireless carriers were at play, such as electrical power outages.</w:t>
      </w:r>
      <w:r w:rsidR="00466E98" w:rsidRPr="00F516AD">
        <w:rPr>
          <w:noProof/>
          <w:sz w:val="24"/>
          <w:szCs w:val="24"/>
          <w:vertAlign w:val="superscript"/>
        </w:rPr>
        <w:footnoteReference w:id="4"/>
      </w:r>
      <w:r w:rsidR="00466E98" w:rsidRPr="00F516AD">
        <w:rPr>
          <w:noProof/>
          <w:sz w:val="24"/>
          <w:szCs w:val="24"/>
        </w:rPr>
        <w:t xml:space="preserve"> Though wireless carrier network resiliency has improved significantly, as demonstrated during the 2017 and 2018 hurricane season, it is the gaps in service that are concerning. </w:t>
      </w:r>
      <w:r w:rsidR="002E467E" w:rsidRPr="00F516AD">
        <w:rPr>
          <w:noProof/>
          <w:sz w:val="24"/>
          <w:szCs w:val="24"/>
        </w:rPr>
        <w:t xml:space="preserve">This is not meant to suggest that 100% resiliency is the expectation, but rather to acknowledge that natural and human-made disaster events disrupt communications in unanticipated ways, and with more collaboration among </w:t>
      </w:r>
      <w:r w:rsidR="00424038" w:rsidRPr="00F516AD">
        <w:rPr>
          <w:noProof/>
          <w:sz w:val="24"/>
          <w:szCs w:val="24"/>
        </w:rPr>
        <w:t>stakeholders</w:t>
      </w:r>
      <w:r w:rsidR="002E467E" w:rsidRPr="00F516AD">
        <w:rPr>
          <w:noProof/>
          <w:sz w:val="24"/>
          <w:szCs w:val="24"/>
        </w:rPr>
        <w:t xml:space="preserve">, </w:t>
      </w:r>
      <w:r w:rsidR="00A219DA" w:rsidRPr="00F516AD">
        <w:rPr>
          <w:noProof/>
          <w:sz w:val="24"/>
          <w:szCs w:val="24"/>
        </w:rPr>
        <w:t>including</w:t>
      </w:r>
      <w:r w:rsidR="002E467E" w:rsidRPr="00F516AD">
        <w:rPr>
          <w:noProof/>
          <w:sz w:val="24"/>
          <w:szCs w:val="24"/>
        </w:rPr>
        <w:t xml:space="preserve"> local and state governments, public utilities, the public, and wireless device manufacturers, </w:t>
      </w:r>
      <w:r w:rsidR="00424038" w:rsidRPr="00F516AD">
        <w:rPr>
          <w:noProof/>
          <w:sz w:val="24"/>
          <w:szCs w:val="24"/>
        </w:rPr>
        <w:t>commun</w:t>
      </w:r>
      <w:r w:rsidR="009F1B4D">
        <w:rPr>
          <w:noProof/>
          <w:sz w:val="24"/>
          <w:szCs w:val="24"/>
        </w:rPr>
        <w:t>ic</w:t>
      </w:r>
      <w:r w:rsidR="00424038" w:rsidRPr="00F516AD">
        <w:rPr>
          <w:noProof/>
          <w:sz w:val="24"/>
          <w:szCs w:val="24"/>
        </w:rPr>
        <w:t xml:space="preserve">ations </w:t>
      </w:r>
      <w:r w:rsidR="002E467E" w:rsidRPr="00F516AD">
        <w:rPr>
          <w:noProof/>
          <w:sz w:val="24"/>
          <w:szCs w:val="24"/>
        </w:rPr>
        <w:t>res</w:t>
      </w:r>
      <w:r w:rsidR="009F1B4D">
        <w:rPr>
          <w:noProof/>
          <w:sz w:val="24"/>
          <w:szCs w:val="24"/>
        </w:rPr>
        <w:t>i</w:t>
      </w:r>
      <w:r w:rsidR="002E467E" w:rsidRPr="00F516AD">
        <w:rPr>
          <w:noProof/>
          <w:sz w:val="24"/>
          <w:szCs w:val="24"/>
        </w:rPr>
        <w:t xml:space="preserve">liency </w:t>
      </w:r>
      <w:r w:rsidR="00424038" w:rsidRPr="00F516AD">
        <w:rPr>
          <w:noProof/>
          <w:sz w:val="24"/>
          <w:szCs w:val="24"/>
        </w:rPr>
        <w:t xml:space="preserve">in the wake of disaster </w:t>
      </w:r>
      <w:r w:rsidR="002E467E" w:rsidRPr="00F516AD">
        <w:rPr>
          <w:noProof/>
          <w:sz w:val="24"/>
          <w:szCs w:val="24"/>
        </w:rPr>
        <w:t xml:space="preserve">can be supported by all </w:t>
      </w:r>
      <w:r w:rsidR="00424038" w:rsidRPr="00F516AD">
        <w:rPr>
          <w:noProof/>
          <w:sz w:val="24"/>
          <w:szCs w:val="24"/>
        </w:rPr>
        <w:t>players</w:t>
      </w:r>
      <w:r w:rsidR="002E467E" w:rsidRPr="00F516AD">
        <w:rPr>
          <w:noProof/>
          <w:sz w:val="24"/>
          <w:szCs w:val="24"/>
        </w:rPr>
        <w:t xml:space="preserve">. </w:t>
      </w:r>
    </w:p>
    <w:p w14:paraId="5A2BCE59" w14:textId="4CD4B4F7" w:rsidR="00BE0A3C" w:rsidRDefault="00C342C7" w:rsidP="00F516AD">
      <w:pPr>
        <w:spacing w:line="480" w:lineRule="exact"/>
        <w:ind w:firstLine="720"/>
        <w:rPr>
          <w:sz w:val="24"/>
          <w:szCs w:val="24"/>
          <w:lang w:val="en"/>
        </w:rPr>
      </w:pPr>
      <w:r w:rsidRPr="00F516AD">
        <w:rPr>
          <w:noProof/>
          <w:sz w:val="24"/>
          <w:szCs w:val="24"/>
        </w:rPr>
        <w:t>That said, the Wi</w:t>
      </w:r>
      <w:r w:rsidR="00424038" w:rsidRPr="00F516AD">
        <w:rPr>
          <w:noProof/>
          <w:sz w:val="24"/>
          <w:szCs w:val="24"/>
        </w:rPr>
        <w:t xml:space="preserve">reless RERC is in </w:t>
      </w:r>
      <w:r w:rsidR="009311FA" w:rsidRPr="00F516AD">
        <w:rPr>
          <w:noProof/>
          <w:sz w:val="24"/>
          <w:szCs w:val="24"/>
        </w:rPr>
        <w:t>general</w:t>
      </w:r>
      <w:r w:rsidR="00424038" w:rsidRPr="00F516AD">
        <w:rPr>
          <w:noProof/>
          <w:sz w:val="24"/>
          <w:szCs w:val="24"/>
        </w:rPr>
        <w:t xml:space="preserve"> support of </w:t>
      </w:r>
      <w:r w:rsidR="009311FA" w:rsidRPr="00F516AD">
        <w:rPr>
          <w:noProof/>
          <w:sz w:val="24"/>
          <w:szCs w:val="24"/>
        </w:rPr>
        <w:t>maintaining</w:t>
      </w:r>
      <w:r w:rsidR="00424038" w:rsidRPr="00F516AD">
        <w:rPr>
          <w:noProof/>
          <w:sz w:val="24"/>
          <w:szCs w:val="24"/>
        </w:rPr>
        <w:t xml:space="preserve"> the voluntary and </w:t>
      </w:r>
      <w:r w:rsidR="00424038" w:rsidRPr="00F516AD">
        <w:rPr>
          <w:noProof/>
          <w:sz w:val="24"/>
          <w:szCs w:val="24"/>
        </w:rPr>
        <w:lastRenderedPageBreak/>
        <w:t xml:space="preserve">flexible nature of the </w:t>
      </w:r>
      <w:r w:rsidR="00466E98" w:rsidRPr="00F516AD">
        <w:rPr>
          <w:noProof/>
          <w:sz w:val="24"/>
          <w:szCs w:val="24"/>
        </w:rPr>
        <w:t>Framework</w:t>
      </w:r>
      <w:r w:rsidR="00424038" w:rsidRPr="00F516AD">
        <w:rPr>
          <w:noProof/>
          <w:sz w:val="24"/>
          <w:szCs w:val="24"/>
        </w:rPr>
        <w:t xml:space="preserve">. As contended by CTIA, the flexibility of </w:t>
      </w:r>
      <w:r w:rsidR="00466E98" w:rsidRPr="00F516AD">
        <w:rPr>
          <w:noProof/>
          <w:sz w:val="24"/>
          <w:szCs w:val="24"/>
        </w:rPr>
        <w:t>Framework</w:t>
      </w:r>
      <w:r w:rsidR="00424038" w:rsidRPr="00F516AD">
        <w:rPr>
          <w:noProof/>
          <w:sz w:val="24"/>
          <w:szCs w:val="24"/>
        </w:rPr>
        <w:t xml:space="preserve"> enabled </w:t>
      </w:r>
      <w:r w:rsidR="00B92158" w:rsidRPr="00F516AD">
        <w:rPr>
          <w:sz w:val="24"/>
          <w:szCs w:val="24"/>
          <w:lang w:val="en"/>
        </w:rPr>
        <w:t>providers to sha</w:t>
      </w:r>
      <w:r w:rsidR="008628E4" w:rsidRPr="00F516AD">
        <w:rPr>
          <w:sz w:val="24"/>
          <w:szCs w:val="24"/>
          <w:lang w:val="en"/>
        </w:rPr>
        <w:t>re resources</w:t>
      </w:r>
      <w:r w:rsidR="00B92158" w:rsidRPr="00F516AD">
        <w:rPr>
          <w:sz w:val="24"/>
          <w:szCs w:val="24"/>
          <w:lang w:val="en"/>
        </w:rPr>
        <w:t xml:space="preserve"> and </w:t>
      </w:r>
      <w:r w:rsidR="008628E4" w:rsidRPr="00F516AD">
        <w:rPr>
          <w:sz w:val="24"/>
          <w:szCs w:val="24"/>
          <w:lang w:val="en"/>
        </w:rPr>
        <w:t>“</w:t>
      </w:r>
      <w:r w:rsidR="008300DA" w:rsidRPr="00F516AD">
        <w:rPr>
          <w:sz w:val="24"/>
          <w:szCs w:val="24"/>
          <w:lang w:val="en"/>
        </w:rPr>
        <w:t xml:space="preserve">to tailor their relief efforts to the unique needs of those communities affected </w:t>
      </w:r>
      <w:r w:rsidR="008628E4" w:rsidRPr="00F516AD">
        <w:rPr>
          <w:sz w:val="24"/>
          <w:szCs w:val="24"/>
          <w:lang w:val="en"/>
        </w:rPr>
        <w:t xml:space="preserve">by </w:t>
      </w:r>
      <w:r w:rsidR="008300DA" w:rsidRPr="00F516AD">
        <w:rPr>
          <w:sz w:val="24"/>
          <w:szCs w:val="24"/>
          <w:lang w:val="en"/>
        </w:rPr>
        <w:t>Hurricane Harvey.  For example, Verizon deployed five emergency response vehicles to communities affected by Harvey to distribute devices and supplies and provide charging stations</w:t>
      </w:r>
      <w:r w:rsidR="008628E4" w:rsidRPr="00F516AD">
        <w:rPr>
          <w:sz w:val="24"/>
          <w:szCs w:val="24"/>
          <w:lang w:val="en"/>
        </w:rPr>
        <w:t>.</w:t>
      </w:r>
      <w:r w:rsidR="009311FA" w:rsidRPr="00F516AD">
        <w:rPr>
          <w:rStyle w:val="FootnoteReference"/>
          <w:sz w:val="24"/>
          <w:szCs w:val="24"/>
          <w:lang w:val="en"/>
        </w:rPr>
        <w:footnoteReference w:id="5"/>
      </w:r>
      <w:r w:rsidR="008628E4" w:rsidRPr="00F516AD">
        <w:rPr>
          <w:sz w:val="24"/>
          <w:szCs w:val="24"/>
          <w:lang w:val="en"/>
        </w:rPr>
        <w:t xml:space="preserve">” </w:t>
      </w:r>
      <w:r w:rsidR="00424038" w:rsidRPr="00F516AD">
        <w:rPr>
          <w:sz w:val="24"/>
          <w:szCs w:val="24"/>
          <w:lang w:val="en"/>
        </w:rPr>
        <w:t xml:space="preserve">This example illustrates how power </w:t>
      </w:r>
      <w:r w:rsidR="00CE0760" w:rsidRPr="00F516AD">
        <w:rPr>
          <w:sz w:val="24"/>
          <w:szCs w:val="24"/>
          <w:lang w:val="en"/>
        </w:rPr>
        <w:t>utility</w:t>
      </w:r>
      <w:r w:rsidR="00424038" w:rsidRPr="00F516AD">
        <w:rPr>
          <w:sz w:val="24"/>
          <w:szCs w:val="24"/>
          <w:lang w:val="en"/>
        </w:rPr>
        <w:t xml:space="preserve"> effects communications </w:t>
      </w:r>
      <w:r w:rsidR="00CE0760" w:rsidRPr="00F516AD">
        <w:rPr>
          <w:sz w:val="24"/>
          <w:szCs w:val="24"/>
          <w:lang w:val="en"/>
        </w:rPr>
        <w:t>resiliency</w:t>
      </w:r>
      <w:r w:rsidR="00424038" w:rsidRPr="00F516AD">
        <w:rPr>
          <w:sz w:val="24"/>
          <w:szCs w:val="24"/>
          <w:lang w:val="en"/>
        </w:rPr>
        <w:t>. When</w:t>
      </w:r>
      <w:r w:rsidR="00CE0760" w:rsidRPr="00F516AD">
        <w:rPr>
          <w:sz w:val="24"/>
          <w:szCs w:val="24"/>
          <w:lang w:val="en"/>
        </w:rPr>
        <w:t xml:space="preserve"> </w:t>
      </w:r>
      <w:r w:rsidR="00424038" w:rsidRPr="00F516AD">
        <w:rPr>
          <w:sz w:val="24"/>
          <w:szCs w:val="24"/>
          <w:lang w:val="en"/>
        </w:rPr>
        <w:t xml:space="preserve">networks have been restored to areas </w:t>
      </w:r>
      <w:r w:rsidR="00CE0760" w:rsidRPr="00F516AD">
        <w:rPr>
          <w:sz w:val="24"/>
          <w:szCs w:val="24"/>
          <w:lang w:val="en"/>
        </w:rPr>
        <w:t>experiencing</w:t>
      </w:r>
      <w:r w:rsidR="00424038" w:rsidRPr="00F516AD">
        <w:rPr>
          <w:sz w:val="24"/>
          <w:szCs w:val="24"/>
          <w:lang w:val="en"/>
        </w:rPr>
        <w:t xml:space="preserve"> power </w:t>
      </w:r>
      <w:r w:rsidR="00CE0760" w:rsidRPr="00F516AD">
        <w:rPr>
          <w:sz w:val="24"/>
          <w:szCs w:val="24"/>
          <w:lang w:val="en"/>
        </w:rPr>
        <w:t>outages</w:t>
      </w:r>
      <w:r w:rsidR="00424038" w:rsidRPr="00F516AD">
        <w:rPr>
          <w:sz w:val="24"/>
          <w:szCs w:val="24"/>
          <w:lang w:val="en"/>
        </w:rPr>
        <w:t>, many are still unable to use their wireless devices due to an inability to charge the batteries. This may be</w:t>
      </w:r>
      <w:r w:rsidR="00CE0760" w:rsidRPr="00F516AD">
        <w:rPr>
          <w:sz w:val="24"/>
          <w:szCs w:val="24"/>
          <w:lang w:val="en"/>
        </w:rPr>
        <w:t xml:space="preserve"> particularly</w:t>
      </w:r>
      <w:r w:rsidR="00424038" w:rsidRPr="00F516AD">
        <w:rPr>
          <w:sz w:val="24"/>
          <w:szCs w:val="24"/>
          <w:lang w:val="en"/>
        </w:rPr>
        <w:t xml:space="preserve"> disturbing for </w:t>
      </w:r>
      <w:r w:rsidR="00CE0760" w:rsidRPr="00F516AD">
        <w:rPr>
          <w:sz w:val="24"/>
          <w:szCs w:val="24"/>
          <w:lang w:val="en"/>
        </w:rPr>
        <w:t>people</w:t>
      </w:r>
      <w:r w:rsidR="00424038" w:rsidRPr="00F516AD">
        <w:rPr>
          <w:sz w:val="24"/>
          <w:szCs w:val="24"/>
          <w:lang w:val="en"/>
        </w:rPr>
        <w:t xml:space="preserve"> with disabilities who rely on the accessible and </w:t>
      </w:r>
      <w:r w:rsidR="00CE0760" w:rsidRPr="00F516AD">
        <w:rPr>
          <w:sz w:val="24"/>
          <w:szCs w:val="24"/>
          <w:lang w:val="en"/>
        </w:rPr>
        <w:t>assistive technology</w:t>
      </w:r>
      <w:r w:rsidR="00424038" w:rsidRPr="00F516AD">
        <w:rPr>
          <w:sz w:val="24"/>
          <w:szCs w:val="24"/>
          <w:lang w:val="en"/>
        </w:rPr>
        <w:t xml:space="preserve"> </w:t>
      </w:r>
      <w:r w:rsidR="00CE0760" w:rsidRPr="00F516AD">
        <w:rPr>
          <w:sz w:val="24"/>
          <w:szCs w:val="24"/>
          <w:lang w:val="en"/>
        </w:rPr>
        <w:t>features</w:t>
      </w:r>
      <w:r w:rsidR="00424038" w:rsidRPr="00F516AD">
        <w:rPr>
          <w:sz w:val="24"/>
          <w:szCs w:val="24"/>
          <w:lang w:val="en"/>
        </w:rPr>
        <w:t xml:space="preserve"> of their wireless devices to send and </w:t>
      </w:r>
      <w:r w:rsidR="00CE0760" w:rsidRPr="00F516AD">
        <w:rPr>
          <w:sz w:val="24"/>
          <w:szCs w:val="24"/>
          <w:lang w:val="en"/>
        </w:rPr>
        <w:t>receive</w:t>
      </w:r>
      <w:r w:rsidR="00424038" w:rsidRPr="00F516AD">
        <w:rPr>
          <w:sz w:val="24"/>
          <w:szCs w:val="24"/>
          <w:lang w:val="en"/>
        </w:rPr>
        <w:t xml:space="preserve"> </w:t>
      </w:r>
      <w:r w:rsidR="00CE0760" w:rsidRPr="00F516AD">
        <w:rPr>
          <w:sz w:val="24"/>
          <w:szCs w:val="24"/>
          <w:lang w:val="en"/>
        </w:rPr>
        <w:t>critical</w:t>
      </w:r>
      <w:r w:rsidR="00424038" w:rsidRPr="00F516AD">
        <w:rPr>
          <w:sz w:val="24"/>
          <w:szCs w:val="24"/>
          <w:lang w:val="en"/>
        </w:rPr>
        <w:t xml:space="preserve"> information. </w:t>
      </w:r>
      <w:r w:rsidR="009311FA" w:rsidRPr="00F516AD">
        <w:rPr>
          <w:sz w:val="24"/>
          <w:szCs w:val="24"/>
          <w:lang w:val="en"/>
        </w:rPr>
        <w:t>“Many members of the deaf and hard of hearing community also depend on wireless emergency text alerts on their mobile devices such as Android, iPhone, Tablets, iPads, etc. as a reliab</w:t>
      </w:r>
      <w:r w:rsidR="00913370">
        <w:rPr>
          <w:sz w:val="24"/>
          <w:szCs w:val="24"/>
          <w:lang w:val="en"/>
        </w:rPr>
        <w:t xml:space="preserve">le source of emergency alerts. </w:t>
      </w:r>
      <w:r w:rsidR="009311FA" w:rsidRPr="00F516AD">
        <w:rPr>
          <w:sz w:val="24"/>
          <w:szCs w:val="24"/>
          <w:lang w:val="en"/>
        </w:rPr>
        <w:t>Outages of wireless networks thus present a special problem for the deaf and hard of hearing community.</w:t>
      </w:r>
      <w:r w:rsidR="009311FA" w:rsidRPr="00F516AD">
        <w:rPr>
          <w:rStyle w:val="FootnoteReference"/>
          <w:sz w:val="24"/>
          <w:szCs w:val="24"/>
          <w:lang w:val="en"/>
        </w:rPr>
        <w:footnoteReference w:id="6"/>
      </w:r>
      <w:r w:rsidR="009311FA" w:rsidRPr="00F516AD">
        <w:rPr>
          <w:sz w:val="24"/>
          <w:szCs w:val="24"/>
          <w:lang w:val="en"/>
        </w:rPr>
        <w:t xml:space="preserve">” </w:t>
      </w:r>
      <w:r w:rsidR="00424038" w:rsidRPr="00F516AD">
        <w:rPr>
          <w:sz w:val="24"/>
          <w:szCs w:val="24"/>
          <w:lang w:val="en"/>
        </w:rPr>
        <w:t xml:space="preserve">As such, the </w:t>
      </w:r>
      <w:r w:rsidR="00CE0760" w:rsidRPr="00F516AD">
        <w:rPr>
          <w:sz w:val="24"/>
          <w:szCs w:val="24"/>
          <w:lang w:val="en"/>
        </w:rPr>
        <w:t>Wireless</w:t>
      </w:r>
      <w:r w:rsidR="00424038" w:rsidRPr="00F516AD">
        <w:rPr>
          <w:sz w:val="24"/>
          <w:szCs w:val="24"/>
          <w:lang w:val="en"/>
        </w:rPr>
        <w:t xml:space="preserve"> RERC recommends including </w:t>
      </w:r>
      <w:r w:rsidR="00CE0760" w:rsidRPr="00F516AD">
        <w:rPr>
          <w:sz w:val="24"/>
          <w:szCs w:val="24"/>
          <w:lang w:val="en"/>
        </w:rPr>
        <w:t>device</w:t>
      </w:r>
      <w:r w:rsidR="00424038" w:rsidRPr="00F516AD">
        <w:rPr>
          <w:sz w:val="24"/>
          <w:szCs w:val="24"/>
          <w:lang w:val="en"/>
        </w:rPr>
        <w:t xml:space="preserve"> </w:t>
      </w:r>
      <w:r w:rsidR="00CE0760" w:rsidRPr="00F516AD">
        <w:rPr>
          <w:sz w:val="24"/>
          <w:szCs w:val="24"/>
          <w:lang w:val="en"/>
        </w:rPr>
        <w:t>manufacturers</w:t>
      </w:r>
      <w:r w:rsidR="00424038" w:rsidRPr="00F516AD">
        <w:rPr>
          <w:sz w:val="24"/>
          <w:szCs w:val="24"/>
          <w:lang w:val="en"/>
        </w:rPr>
        <w:t xml:space="preserve"> in </w:t>
      </w:r>
      <w:r w:rsidR="00CE0760" w:rsidRPr="00F516AD">
        <w:rPr>
          <w:sz w:val="24"/>
          <w:szCs w:val="24"/>
          <w:lang w:val="en"/>
        </w:rPr>
        <w:t xml:space="preserve">discussions about how to optimize the battery life of these devices, particularly, leading up to and post-disaster.  </w:t>
      </w:r>
      <w:r w:rsidR="00745FC4" w:rsidRPr="00F516AD">
        <w:rPr>
          <w:sz w:val="24"/>
          <w:szCs w:val="24"/>
          <w:lang w:val="en"/>
        </w:rPr>
        <w:t>There are currently recommendations that center on limiting the functionality of the phone to conserve battery, such as turning o</w:t>
      </w:r>
      <w:r w:rsidR="00A13038" w:rsidRPr="00F516AD">
        <w:rPr>
          <w:sz w:val="24"/>
          <w:szCs w:val="24"/>
          <w:lang w:val="en"/>
        </w:rPr>
        <w:t>f</w:t>
      </w:r>
      <w:r w:rsidR="00745FC4" w:rsidRPr="00F516AD">
        <w:rPr>
          <w:sz w:val="24"/>
          <w:szCs w:val="24"/>
          <w:lang w:val="en"/>
        </w:rPr>
        <w:t>f location</w:t>
      </w:r>
      <w:r w:rsidR="00A362A5" w:rsidRPr="00F516AD">
        <w:rPr>
          <w:sz w:val="24"/>
          <w:szCs w:val="24"/>
          <w:lang w:val="en"/>
        </w:rPr>
        <w:t xml:space="preserve"> and GP</w:t>
      </w:r>
      <w:r w:rsidR="00745FC4" w:rsidRPr="00F516AD">
        <w:rPr>
          <w:sz w:val="24"/>
          <w:szCs w:val="24"/>
          <w:lang w:val="en"/>
        </w:rPr>
        <w:t xml:space="preserve">S </w:t>
      </w:r>
      <w:r w:rsidR="00A362A5" w:rsidRPr="00F516AD">
        <w:rPr>
          <w:sz w:val="24"/>
          <w:szCs w:val="24"/>
          <w:lang w:val="en"/>
        </w:rPr>
        <w:t>services</w:t>
      </w:r>
      <w:r w:rsidR="00745FC4" w:rsidRPr="00F516AD">
        <w:rPr>
          <w:sz w:val="24"/>
          <w:szCs w:val="24"/>
          <w:lang w:val="en"/>
        </w:rPr>
        <w:t xml:space="preserve">, </w:t>
      </w:r>
      <w:r w:rsidR="00A362A5" w:rsidRPr="00F516AD">
        <w:rPr>
          <w:sz w:val="24"/>
          <w:szCs w:val="24"/>
          <w:lang w:val="en"/>
        </w:rPr>
        <w:t>however</w:t>
      </w:r>
      <w:r w:rsidR="009F1B4D">
        <w:rPr>
          <w:sz w:val="24"/>
          <w:szCs w:val="24"/>
          <w:lang w:val="en"/>
        </w:rPr>
        <w:t>,</w:t>
      </w:r>
      <w:r w:rsidR="00745FC4" w:rsidRPr="00F516AD">
        <w:rPr>
          <w:sz w:val="24"/>
          <w:szCs w:val="24"/>
          <w:lang w:val="en"/>
        </w:rPr>
        <w:t xml:space="preserve"> it is these very services that could allow for people to be found </w:t>
      </w:r>
      <w:r w:rsidR="00A362A5" w:rsidRPr="00F516AD">
        <w:rPr>
          <w:sz w:val="24"/>
          <w:szCs w:val="24"/>
          <w:lang w:val="en"/>
        </w:rPr>
        <w:t xml:space="preserve">during post-disaster search and rescue. Including </w:t>
      </w:r>
      <w:r w:rsidRPr="00F516AD">
        <w:rPr>
          <w:sz w:val="24"/>
          <w:szCs w:val="24"/>
          <w:lang w:val="en"/>
        </w:rPr>
        <w:t>device</w:t>
      </w:r>
      <w:r w:rsidR="00A362A5" w:rsidRPr="00F516AD">
        <w:rPr>
          <w:sz w:val="24"/>
          <w:szCs w:val="24"/>
          <w:lang w:val="en"/>
        </w:rPr>
        <w:t xml:space="preserve"> manufacturers as a key communications resiliency stakeholder, could prove an asset to mitigating </w:t>
      </w:r>
      <w:r w:rsidRPr="00F516AD">
        <w:rPr>
          <w:sz w:val="24"/>
          <w:szCs w:val="24"/>
          <w:lang w:val="en"/>
        </w:rPr>
        <w:t xml:space="preserve">the effects of post-disaster </w:t>
      </w:r>
      <w:r w:rsidR="00A362A5" w:rsidRPr="00F516AD">
        <w:rPr>
          <w:sz w:val="24"/>
          <w:szCs w:val="24"/>
          <w:lang w:val="en"/>
        </w:rPr>
        <w:t xml:space="preserve">power consumption of wireless devices. </w:t>
      </w:r>
    </w:p>
    <w:p w14:paraId="433452DC" w14:textId="37B948D4" w:rsidR="00424038" w:rsidRPr="00DF7D07" w:rsidRDefault="00DF7D07" w:rsidP="00F516AD">
      <w:pPr>
        <w:spacing w:line="480" w:lineRule="exact"/>
        <w:ind w:firstLine="720"/>
        <w:rPr>
          <w:color w:val="FF0000"/>
          <w:sz w:val="24"/>
          <w:szCs w:val="24"/>
          <w:lang w:val="en"/>
        </w:rPr>
      </w:pPr>
      <w:r w:rsidRPr="00CC5667">
        <w:rPr>
          <w:sz w:val="24"/>
          <w:szCs w:val="24"/>
          <w:lang w:val="en"/>
        </w:rPr>
        <w:t xml:space="preserve">In addition, the Wireless RERC is currently in the process of assessing ways in which battery life can be extended, especially during emergencies. We will file ex parte comments on our results </w:t>
      </w:r>
      <w:r w:rsidR="00CC5667">
        <w:rPr>
          <w:sz w:val="24"/>
          <w:szCs w:val="24"/>
          <w:lang w:val="en"/>
        </w:rPr>
        <w:t>after</w:t>
      </w:r>
      <w:r w:rsidRPr="00CC5667">
        <w:rPr>
          <w:sz w:val="24"/>
          <w:szCs w:val="24"/>
          <w:lang w:val="en"/>
        </w:rPr>
        <w:t xml:space="preserve"> our </w:t>
      </w:r>
      <w:r w:rsidR="00CC5667">
        <w:rPr>
          <w:sz w:val="24"/>
          <w:szCs w:val="24"/>
          <w:lang w:val="en"/>
        </w:rPr>
        <w:t>study</w:t>
      </w:r>
      <w:r w:rsidRPr="00CC5667">
        <w:rPr>
          <w:sz w:val="24"/>
          <w:szCs w:val="24"/>
          <w:lang w:val="en"/>
        </w:rPr>
        <w:t xml:space="preserve"> conclude</w:t>
      </w:r>
      <w:r w:rsidR="00CC5667">
        <w:rPr>
          <w:sz w:val="24"/>
          <w:szCs w:val="24"/>
          <w:lang w:val="en"/>
        </w:rPr>
        <w:t>s</w:t>
      </w:r>
      <w:r w:rsidRPr="00CC5667">
        <w:rPr>
          <w:sz w:val="24"/>
          <w:szCs w:val="24"/>
          <w:lang w:val="en"/>
        </w:rPr>
        <w:t xml:space="preserve"> later in 2019. </w:t>
      </w:r>
    </w:p>
    <w:p w14:paraId="495BA9FF" w14:textId="77777777" w:rsidR="001C3722" w:rsidRPr="00F516AD" w:rsidRDefault="001C3722" w:rsidP="00F516AD">
      <w:pPr>
        <w:pStyle w:val="ParaNum"/>
        <w:numPr>
          <w:ilvl w:val="0"/>
          <w:numId w:val="0"/>
        </w:numPr>
        <w:spacing w:after="0" w:line="480" w:lineRule="exact"/>
        <w:rPr>
          <w:b/>
          <w:sz w:val="24"/>
          <w:szCs w:val="24"/>
        </w:rPr>
      </w:pPr>
      <w:r w:rsidRPr="00F516AD">
        <w:rPr>
          <w:b/>
          <w:noProof/>
          <w:sz w:val="24"/>
          <w:szCs w:val="24"/>
        </w:rPr>
        <w:lastRenderedPageBreak/>
        <w:t>Reply to comments made by Verizon Wireless.</w:t>
      </w:r>
    </w:p>
    <w:p w14:paraId="5C9580F0" w14:textId="5076786C" w:rsidR="00BD3FE0" w:rsidRPr="00F516AD" w:rsidRDefault="00DC3D29" w:rsidP="00F516AD">
      <w:pPr>
        <w:spacing w:line="480" w:lineRule="exact"/>
        <w:ind w:firstLine="720"/>
        <w:rPr>
          <w:sz w:val="24"/>
          <w:szCs w:val="24"/>
        </w:rPr>
      </w:pPr>
      <w:r w:rsidRPr="00F516AD">
        <w:rPr>
          <w:sz w:val="24"/>
          <w:szCs w:val="24"/>
          <w:lang w:val="en"/>
        </w:rPr>
        <w:t xml:space="preserve">The </w:t>
      </w:r>
      <w:r w:rsidR="009311FA" w:rsidRPr="00F516AD">
        <w:rPr>
          <w:sz w:val="24"/>
          <w:szCs w:val="24"/>
          <w:lang w:val="en"/>
        </w:rPr>
        <w:t>Wireless</w:t>
      </w:r>
      <w:r w:rsidRPr="00F516AD">
        <w:rPr>
          <w:sz w:val="24"/>
          <w:szCs w:val="24"/>
          <w:lang w:val="en"/>
        </w:rPr>
        <w:t xml:space="preserve"> RERC agrees with Verizon’s assertion that “the Framework also should continue to preserve wireless providers’ ability to determine, based on sound engineering principles and objective factors like available coverage and traffic demands, where and how to allocate their assets and services in a locality to most effectively and efficiently respond to a disaster.</w:t>
      </w:r>
      <w:r w:rsidR="009311FA" w:rsidRPr="00F516AD">
        <w:rPr>
          <w:rStyle w:val="FootnoteReference"/>
          <w:sz w:val="24"/>
          <w:szCs w:val="24"/>
          <w:lang w:val="en"/>
        </w:rPr>
        <w:footnoteReference w:id="7"/>
      </w:r>
      <w:r w:rsidRPr="00F516AD">
        <w:rPr>
          <w:sz w:val="24"/>
          <w:szCs w:val="24"/>
          <w:lang w:val="en"/>
        </w:rPr>
        <w:t xml:space="preserve">” </w:t>
      </w:r>
      <w:r w:rsidR="008628E4" w:rsidRPr="00F516AD">
        <w:rPr>
          <w:sz w:val="24"/>
          <w:szCs w:val="24"/>
          <w:lang w:val="en"/>
        </w:rPr>
        <w:t>The impacts of large-scale disaster</w:t>
      </w:r>
      <w:r w:rsidR="00230CAE" w:rsidRPr="00F516AD">
        <w:rPr>
          <w:sz w:val="24"/>
          <w:szCs w:val="24"/>
          <w:lang w:val="en"/>
        </w:rPr>
        <w:t>s</w:t>
      </w:r>
      <w:r w:rsidR="008628E4" w:rsidRPr="00F516AD">
        <w:rPr>
          <w:sz w:val="24"/>
          <w:szCs w:val="24"/>
          <w:lang w:val="en"/>
        </w:rPr>
        <w:t xml:space="preserve"> are highly variable, and continually changing as events unfold</w:t>
      </w:r>
      <w:r w:rsidR="008A7150" w:rsidRPr="00F516AD">
        <w:rPr>
          <w:sz w:val="24"/>
          <w:szCs w:val="24"/>
          <w:lang w:val="en"/>
        </w:rPr>
        <w:t xml:space="preserve">. Predictions about areas that will be (or not) in the path </w:t>
      </w:r>
      <w:r w:rsidR="00BD3FE0" w:rsidRPr="00F516AD">
        <w:rPr>
          <w:sz w:val="24"/>
          <w:szCs w:val="24"/>
          <w:lang w:val="en"/>
        </w:rPr>
        <w:t xml:space="preserve">of a hurricane </w:t>
      </w:r>
      <w:r w:rsidR="008A7150" w:rsidRPr="00F516AD">
        <w:rPr>
          <w:sz w:val="24"/>
          <w:szCs w:val="24"/>
          <w:lang w:val="en"/>
        </w:rPr>
        <w:t xml:space="preserve">and the resulting wind and/or water damage are just that, estimates, not exactitudes. </w:t>
      </w:r>
      <w:r w:rsidR="00D96F8E" w:rsidRPr="00F516AD">
        <w:rPr>
          <w:sz w:val="24"/>
          <w:szCs w:val="24"/>
          <w:lang w:val="en"/>
        </w:rPr>
        <w:t>Prescribing</w:t>
      </w:r>
      <w:r w:rsidR="008A7150" w:rsidRPr="00F516AD">
        <w:rPr>
          <w:sz w:val="24"/>
          <w:szCs w:val="24"/>
          <w:lang w:val="en"/>
        </w:rPr>
        <w:t xml:space="preserve"> a </w:t>
      </w:r>
      <w:r w:rsidR="00D96F8E" w:rsidRPr="00F516AD">
        <w:rPr>
          <w:sz w:val="24"/>
          <w:szCs w:val="24"/>
          <w:lang w:val="en"/>
        </w:rPr>
        <w:t>metric</w:t>
      </w:r>
      <w:r w:rsidR="008A7150" w:rsidRPr="00F516AD">
        <w:rPr>
          <w:sz w:val="24"/>
          <w:szCs w:val="24"/>
          <w:lang w:val="en"/>
        </w:rPr>
        <w:t xml:space="preserve"> for </w:t>
      </w:r>
      <w:r w:rsidR="00D96F8E" w:rsidRPr="00F516AD">
        <w:rPr>
          <w:sz w:val="24"/>
          <w:szCs w:val="24"/>
          <w:lang w:val="en"/>
        </w:rPr>
        <w:t xml:space="preserve">where and how much </w:t>
      </w:r>
      <w:r w:rsidR="008A7150" w:rsidRPr="00F516AD">
        <w:rPr>
          <w:sz w:val="24"/>
          <w:szCs w:val="24"/>
          <w:lang w:val="en"/>
        </w:rPr>
        <w:t>pre-</w:t>
      </w:r>
      <w:r w:rsidR="00D96F8E" w:rsidRPr="00F516AD">
        <w:rPr>
          <w:sz w:val="24"/>
          <w:szCs w:val="24"/>
          <w:lang w:val="en"/>
        </w:rPr>
        <w:t>positioning</w:t>
      </w:r>
      <w:r w:rsidR="008A7150" w:rsidRPr="00F516AD">
        <w:rPr>
          <w:sz w:val="24"/>
          <w:szCs w:val="24"/>
          <w:lang w:val="en"/>
        </w:rPr>
        <w:t xml:space="preserve"> </w:t>
      </w:r>
      <w:r w:rsidR="00D96F8E" w:rsidRPr="00F516AD">
        <w:rPr>
          <w:sz w:val="24"/>
          <w:szCs w:val="24"/>
          <w:lang w:val="en"/>
        </w:rPr>
        <w:t xml:space="preserve">of </w:t>
      </w:r>
      <w:r w:rsidR="008A7150" w:rsidRPr="00F516AD">
        <w:rPr>
          <w:sz w:val="24"/>
          <w:szCs w:val="24"/>
          <w:lang w:val="en"/>
        </w:rPr>
        <w:t>assets based</w:t>
      </w:r>
      <w:r w:rsidR="00D96F8E" w:rsidRPr="00F516AD">
        <w:rPr>
          <w:sz w:val="24"/>
          <w:szCs w:val="24"/>
          <w:lang w:val="en"/>
        </w:rPr>
        <w:t xml:space="preserve"> </w:t>
      </w:r>
      <w:r w:rsidR="008A7150" w:rsidRPr="00F516AD">
        <w:rPr>
          <w:sz w:val="24"/>
          <w:szCs w:val="24"/>
          <w:lang w:val="en"/>
        </w:rPr>
        <w:t xml:space="preserve">on </w:t>
      </w:r>
      <w:r w:rsidR="00D96F8E" w:rsidRPr="00F516AD">
        <w:rPr>
          <w:sz w:val="24"/>
          <w:szCs w:val="24"/>
          <w:lang w:val="en"/>
        </w:rPr>
        <w:t>population</w:t>
      </w:r>
      <w:r w:rsidR="008A7150" w:rsidRPr="00F516AD">
        <w:rPr>
          <w:sz w:val="24"/>
          <w:szCs w:val="24"/>
          <w:lang w:val="en"/>
        </w:rPr>
        <w:t xml:space="preserve"> size could potentially delay restoration</w:t>
      </w:r>
      <w:r w:rsidR="00D96F8E" w:rsidRPr="00F516AD">
        <w:rPr>
          <w:sz w:val="24"/>
          <w:szCs w:val="24"/>
          <w:lang w:val="en"/>
        </w:rPr>
        <w:t xml:space="preserve"> to the hardest impacted areas that contain some of our nation’s more vulnerable </w:t>
      </w:r>
      <w:r w:rsidRPr="00F516AD">
        <w:rPr>
          <w:sz w:val="24"/>
          <w:szCs w:val="24"/>
          <w:lang w:val="en"/>
        </w:rPr>
        <w:t xml:space="preserve">to disaster </w:t>
      </w:r>
      <w:r w:rsidR="00D96F8E" w:rsidRPr="00F516AD">
        <w:rPr>
          <w:sz w:val="24"/>
          <w:szCs w:val="24"/>
          <w:lang w:val="en"/>
        </w:rPr>
        <w:t xml:space="preserve">populations. For </w:t>
      </w:r>
      <w:r w:rsidR="0096206C" w:rsidRPr="00F516AD">
        <w:rPr>
          <w:sz w:val="24"/>
          <w:szCs w:val="24"/>
          <w:lang w:val="en"/>
        </w:rPr>
        <w:t>example</w:t>
      </w:r>
      <w:r w:rsidR="00D96F8E" w:rsidRPr="00F516AD">
        <w:rPr>
          <w:sz w:val="24"/>
          <w:szCs w:val="24"/>
          <w:lang w:val="en"/>
        </w:rPr>
        <w:t xml:space="preserve">, </w:t>
      </w:r>
      <w:r w:rsidR="00A26670" w:rsidRPr="00F516AD">
        <w:rPr>
          <w:sz w:val="24"/>
          <w:szCs w:val="24"/>
          <w:lang w:val="en"/>
        </w:rPr>
        <w:t xml:space="preserve">the population-size formula would </w:t>
      </w:r>
      <w:r w:rsidR="00D96F8E" w:rsidRPr="00F516AD">
        <w:rPr>
          <w:sz w:val="24"/>
          <w:szCs w:val="24"/>
          <w:lang w:val="en"/>
        </w:rPr>
        <w:t xml:space="preserve">systematically </w:t>
      </w:r>
      <w:r w:rsidR="00A26670" w:rsidRPr="00F516AD">
        <w:rPr>
          <w:sz w:val="24"/>
          <w:szCs w:val="24"/>
          <w:lang w:val="en"/>
        </w:rPr>
        <w:t>exclude</w:t>
      </w:r>
      <w:r w:rsidR="00D96F8E" w:rsidRPr="00F516AD">
        <w:rPr>
          <w:sz w:val="24"/>
          <w:szCs w:val="24"/>
          <w:lang w:val="en"/>
        </w:rPr>
        <w:t xml:space="preserve"> rural areas from pre</w:t>
      </w:r>
      <w:r w:rsidR="00311768" w:rsidRPr="00F516AD">
        <w:rPr>
          <w:sz w:val="24"/>
          <w:szCs w:val="24"/>
          <w:lang w:val="en"/>
        </w:rPr>
        <w:t>-</w:t>
      </w:r>
      <w:r w:rsidR="00D96F8E" w:rsidRPr="00F516AD">
        <w:rPr>
          <w:sz w:val="24"/>
          <w:szCs w:val="24"/>
          <w:lang w:val="en"/>
        </w:rPr>
        <w:t>disaster position</w:t>
      </w:r>
      <w:r w:rsidR="0096206C" w:rsidRPr="00F516AD">
        <w:rPr>
          <w:sz w:val="24"/>
          <w:szCs w:val="24"/>
          <w:lang w:val="en"/>
        </w:rPr>
        <w:t>ing</w:t>
      </w:r>
      <w:r w:rsidR="00D96F8E" w:rsidRPr="00F516AD">
        <w:rPr>
          <w:sz w:val="24"/>
          <w:szCs w:val="24"/>
          <w:lang w:val="en"/>
        </w:rPr>
        <w:t xml:space="preserve"> of assets. </w:t>
      </w:r>
      <w:r w:rsidR="00311768" w:rsidRPr="00F516AD">
        <w:rPr>
          <w:sz w:val="24"/>
          <w:szCs w:val="24"/>
        </w:rPr>
        <w:t>T</w:t>
      </w:r>
      <w:r w:rsidR="00A26670" w:rsidRPr="00F516AD">
        <w:rPr>
          <w:sz w:val="24"/>
          <w:szCs w:val="24"/>
        </w:rPr>
        <w:t>here is a higher prevalence of disability in rural America compared to urban areas.</w:t>
      </w:r>
      <w:r w:rsidR="00A26670" w:rsidRPr="00F516AD">
        <w:rPr>
          <w:sz w:val="24"/>
          <w:szCs w:val="24"/>
          <w:vertAlign w:val="superscript"/>
        </w:rPr>
        <w:footnoteReference w:id="8"/>
      </w:r>
      <w:r w:rsidR="00A26670" w:rsidRPr="00F516AD">
        <w:rPr>
          <w:sz w:val="24"/>
          <w:szCs w:val="24"/>
        </w:rPr>
        <w:t xml:space="preserve">  </w:t>
      </w:r>
      <w:r w:rsidR="00DF7D07" w:rsidRPr="00BE0A3C">
        <w:rPr>
          <w:sz w:val="24"/>
          <w:szCs w:val="24"/>
        </w:rPr>
        <w:t xml:space="preserve">This </w:t>
      </w:r>
      <w:r w:rsidR="00913370">
        <w:rPr>
          <w:sz w:val="24"/>
          <w:szCs w:val="24"/>
        </w:rPr>
        <w:t>fact, coupled with a population-size formula,</w:t>
      </w:r>
      <w:bookmarkStart w:id="28" w:name="_GoBack"/>
      <w:bookmarkEnd w:id="28"/>
      <w:r w:rsidR="00DF7D07" w:rsidRPr="00BE0A3C">
        <w:rPr>
          <w:sz w:val="24"/>
          <w:szCs w:val="24"/>
        </w:rPr>
        <w:t xml:space="preserve"> places </w:t>
      </w:r>
      <w:r w:rsidR="00BD3FE0" w:rsidRPr="00F516AD">
        <w:rPr>
          <w:sz w:val="24"/>
          <w:szCs w:val="24"/>
        </w:rPr>
        <w:t>rural residents with disabilities in jeopardy of extended delays to wireless services that they rely on for accessible communications.</w:t>
      </w:r>
    </w:p>
    <w:p w14:paraId="6E806734" w14:textId="7755AA8A" w:rsidR="00D96F8E" w:rsidRPr="00F516AD" w:rsidRDefault="00311768" w:rsidP="00F516AD">
      <w:pPr>
        <w:pStyle w:val="ParaNum"/>
        <w:numPr>
          <w:ilvl w:val="0"/>
          <w:numId w:val="0"/>
        </w:numPr>
        <w:spacing w:after="0" w:line="480" w:lineRule="exact"/>
        <w:ind w:firstLine="720"/>
        <w:rPr>
          <w:sz w:val="24"/>
          <w:szCs w:val="24"/>
        </w:rPr>
      </w:pPr>
      <w:r w:rsidRPr="00F516AD">
        <w:rPr>
          <w:sz w:val="24"/>
          <w:szCs w:val="24"/>
        </w:rPr>
        <w:t xml:space="preserve">Furthermore, </w:t>
      </w:r>
      <w:r w:rsidR="00BD3FE0" w:rsidRPr="00F516AD">
        <w:rPr>
          <w:sz w:val="24"/>
          <w:szCs w:val="24"/>
        </w:rPr>
        <w:t xml:space="preserve">rural counties </w:t>
      </w:r>
      <w:r w:rsidR="00215393" w:rsidRPr="00F516AD">
        <w:rPr>
          <w:sz w:val="24"/>
          <w:szCs w:val="24"/>
        </w:rPr>
        <w:t>represent</w:t>
      </w:r>
      <w:r w:rsidR="00BD3FE0" w:rsidRPr="00F516AD">
        <w:rPr>
          <w:sz w:val="24"/>
          <w:szCs w:val="24"/>
        </w:rPr>
        <w:t xml:space="preserve"> a large proportion of communities living in</w:t>
      </w:r>
      <w:r w:rsidR="00215393" w:rsidRPr="00F516AD">
        <w:rPr>
          <w:sz w:val="24"/>
          <w:szCs w:val="24"/>
        </w:rPr>
        <w:t xml:space="preserve"> </w:t>
      </w:r>
      <w:r w:rsidR="005E0E39" w:rsidRPr="00F516AD">
        <w:rPr>
          <w:sz w:val="24"/>
          <w:szCs w:val="24"/>
        </w:rPr>
        <w:t>persistent</w:t>
      </w:r>
      <w:r w:rsidR="00215393" w:rsidRPr="00F516AD">
        <w:rPr>
          <w:sz w:val="24"/>
          <w:szCs w:val="24"/>
        </w:rPr>
        <w:t xml:space="preserve"> po</w:t>
      </w:r>
      <w:r w:rsidR="00BD3FE0" w:rsidRPr="00F516AD">
        <w:rPr>
          <w:sz w:val="24"/>
          <w:szCs w:val="24"/>
        </w:rPr>
        <w:t>ver</w:t>
      </w:r>
      <w:r w:rsidR="00215393" w:rsidRPr="00F516AD">
        <w:rPr>
          <w:sz w:val="24"/>
          <w:szCs w:val="24"/>
        </w:rPr>
        <w:t>t</w:t>
      </w:r>
      <w:r w:rsidR="00BD3FE0" w:rsidRPr="00F516AD">
        <w:rPr>
          <w:sz w:val="24"/>
          <w:szCs w:val="24"/>
        </w:rPr>
        <w:t xml:space="preserve">y </w:t>
      </w:r>
      <w:r w:rsidR="006917A8" w:rsidRPr="00F516AD">
        <w:rPr>
          <w:sz w:val="24"/>
          <w:szCs w:val="24"/>
        </w:rPr>
        <w:t>comprised of</w:t>
      </w:r>
      <w:r w:rsidR="00DC3D29" w:rsidRPr="00F516AD">
        <w:rPr>
          <w:sz w:val="24"/>
          <w:szCs w:val="24"/>
        </w:rPr>
        <w:t xml:space="preserve"> residents without </w:t>
      </w:r>
      <w:r w:rsidR="00BD3FE0" w:rsidRPr="00F516AD">
        <w:rPr>
          <w:sz w:val="24"/>
          <w:szCs w:val="24"/>
        </w:rPr>
        <w:t xml:space="preserve">the </w:t>
      </w:r>
      <w:r w:rsidR="00215393" w:rsidRPr="00F516AD">
        <w:rPr>
          <w:sz w:val="24"/>
          <w:szCs w:val="24"/>
        </w:rPr>
        <w:t>financial</w:t>
      </w:r>
      <w:r w:rsidR="00BD3FE0" w:rsidRPr="00F516AD">
        <w:rPr>
          <w:sz w:val="24"/>
          <w:szCs w:val="24"/>
        </w:rPr>
        <w:t xml:space="preserve"> </w:t>
      </w:r>
      <w:r w:rsidR="00215393" w:rsidRPr="00F516AD">
        <w:rPr>
          <w:sz w:val="24"/>
          <w:szCs w:val="24"/>
        </w:rPr>
        <w:t>resources</w:t>
      </w:r>
      <w:r w:rsidR="00BD3FE0" w:rsidRPr="00F516AD">
        <w:rPr>
          <w:sz w:val="24"/>
          <w:szCs w:val="24"/>
        </w:rPr>
        <w:t xml:space="preserve"> to comply with evacuation orders. </w:t>
      </w:r>
      <w:r w:rsidR="005E0E39" w:rsidRPr="00F516AD">
        <w:rPr>
          <w:sz w:val="24"/>
          <w:szCs w:val="24"/>
        </w:rPr>
        <w:t xml:space="preserve">As such, </w:t>
      </w:r>
      <w:r w:rsidR="005E1065">
        <w:rPr>
          <w:sz w:val="24"/>
          <w:szCs w:val="24"/>
        </w:rPr>
        <w:t xml:space="preserve">we suggest that </w:t>
      </w:r>
      <w:r w:rsidR="005E0E39" w:rsidRPr="00F516AD">
        <w:rPr>
          <w:sz w:val="24"/>
          <w:szCs w:val="24"/>
        </w:rPr>
        <w:t>Verizon’s recommendation regarding criteria for mutual aid to “</w:t>
      </w:r>
      <w:r w:rsidR="00D96F8E" w:rsidRPr="00F516AD">
        <w:rPr>
          <w:sz w:val="24"/>
          <w:szCs w:val="24"/>
          <w:lang w:val="en"/>
        </w:rPr>
        <w:t xml:space="preserve">include factors such as the actual coverage loss (rather than simply sites out of service), the expected service restoration time, projected capacity demands, </w:t>
      </w:r>
      <w:r w:rsidR="00D96F8E" w:rsidRPr="00F516AD">
        <w:rPr>
          <w:i/>
          <w:sz w:val="24"/>
          <w:szCs w:val="24"/>
          <w:lang w:val="en"/>
        </w:rPr>
        <w:t>and users’ access to the affected area</w:t>
      </w:r>
      <w:r w:rsidR="005E0E39" w:rsidRPr="00F516AD">
        <w:rPr>
          <w:sz w:val="24"/>
          <w:szCs w:val="24"/>
          <w:lang w:val="en"/>
        </w:rPr>
        <w:t xml:space="preserve"> [emphasis added]</w:t>
      </w:r>
      <w:r w:rsidR="006917A8" w:rsidRPr="00F516AD">
        <w:rPr>
          <w:sz w:val="24"/>
          <w:szCs w:val="24"/>
          <w:lang w:val="en"/>
        </w:rPr>
        <w:t>,</w:t>
      </w:r>
      <w:r w:rsidR="009311FA" w:rsidRPr="00F516AD">
        <w:rPr>
          <w:rStyle w:val="FootnoteReference"/>
          <w:sz w:val="24"/>
          <w:szCs w:val="24"/>
          <w:lang w:val="en"/>
        </w:rPr>
        <w:footnoteReference w:id="9"/>
      </w:r>
      <w:r w:rsidR="005E0E39" w:rsidRPr="00F516AD">
        <w:rPr>
          <w:sz w:val="24"/>
          <w:szCs w:val="24"/>
          <w:lang w:val="en"/>
        </w:rPr>
        <w:t xml:space="preserve">” </w:t>
      </w:r>
      <w:r w:rsidR="006917A8" w:rsidRPr="005E1065">
        <w:rPr>
          <w:b/>
          <w:sz w:val="24"/>
          <w:szCs w:val="24"/>
          <w:lang w:val="en"/>
        </w:rPr>
        <w:t>c</w:t>
      </w:r>
      <w:r w:rsidR="005E0E39" w:rsidRPr="005E1065">
        <w:rPr>
          <w:b/>
          <w:sz w:val="24"/>
          <w:szCs w:val="24"/>
          <w:lang w:val="en"/>
        </w:rPr>
        <w:t>onsider the many residents, living in poverty</w:t>
      </w:r>
      <w:r w:rsidR="001F67F3" w:rsidRPr="005E1065">
        <w:rPr>
          <w:b/>
          <w:sz w:val="24"/>
          <w:szCs w:val="24"/>
          <w:lang w:val="en"/>
        </w:rPr>
        <w:t xml:space="preserve"> </w:t>
      </w:r>
      <w:r w:rsidR="005E0E39" w:rsidRPr="005E1065">
        <w:rPr>
          <w:b/>
          <w:sz w:val="24"/>
          <w:szCs w:val="24"/>
          <w:lang w:val="en"/>
        </w:rPr>
        <w:t xml:space="preserve">and those otherwise unable to </w:t>
      </w:r>
      <w:r w:rsidR="001F67F3" w:rsidRPr="005E1065">
        <w:rPr>
          <w:b/>
          <w:sz w:val="24"/>
          <w:szCs w:val="24"/>
          <w:lang w:val="en"/>
        </w:rPr>
        <w:t>evacuate</w:t>
      </w:r>
      <w:r w:rsidR="006917A8" w:rsidRPr="005E1065">
        <w:rPr>
          <w:b/>
          <w:sz w:val="24"/>
          <w:szCs w:val="24"/>
          <w:lang w:val="en"/>
        </w:rPr>
        <w:t>,</w:t>
      </w:r>
      <w:r w:rsidR="005E0E39" w:rsidRPr="005E1065">
        <w:rPr>
          <w:b/>
          <w:sz w:val="24"/>
          <w:szCs w:val="24"/>
          <w:lang w:val="en"/>
        </w:rPr>
        <w:t xml:space="preserve"> such as the elderly</w:t>
      </w:r>
      <w:r w:rsidR="005E0E39" w:rsidRPr="00F516AD">
        <w:rPr>
          <w:sz w:val="24"/>
          <w:szCs w:val="24"/>
          <w:lang w:val="en"/>
        </w:rPr>
        <w:t xml:space="preserve">. </w:t>
      </w:r>
      <w:r w:rsidR="001F67F3" w:rsidRPr="00F516AD">
        <w:rPr>
          <w:sz w:val="24"/>
          <w:szCs w:val="24"/>
          <w:lang w:val="en"/>
        </w:rPr>
        <w:t>Though</w:t>
      </w:r>
      <w:r w:rsidR="005E0E39" w:rsidRPr="00F516AD">
        <w:rPr>
          <w:sz w:val="24"/>
          <w:szCs w:val="24"/>
          <w:lang w:val="en"/>
        </w:rPr>
        <w:t xml:space="preserve"> the area may have been </w:t>
      </w:r>
      <w:r w:rsidR="005E0E39" w:rsidRPr="00F516AD">
        <w:rPr>
          <w:sz w:val="24"/>
          <w:szCs w:val="24"/>
          <w:lang w:val="en"/>
        </w:rPr>
        <w:lastRenderedPageBreak/>
        <w:t>designated as mandatory evacuation, reports have shown that people</w:t>
      </w:r>
      <w:r w:rsidR="001F67F3" w:rsidRPr="00F516AD">
        <w:rPr>
          <w:sz w:val="24"/>
          <w:szCs w:val="24"/>
          <w:lang w:val="en"/>
        </w:rPr>
        <w:t xml:space="preserve"> </w:t>
      </w:r>
      <w:r w:rsidR="005E0E39" w:rsidRPr="00F516AD">
        <w:rPr>
          <w:sz w:val="24"/>
          <w:szCs w:val="24"/>
          <w:lang w:val="en"/>
        </w:rPr>
        <w:t>with disabilities and the</w:t>
      </w:r>
      <w:r w:rsidR="001F67F3" w:rsidRPr="00F516AD">
        <w:rPr>
          <w:sz w:val="24"/>
          <w:szCs w:val="24"/>
          <w:lang w:val="en"/>
        </w:rPr>
        <w:t xml:space="preserve"> elderly</w:t>
      </w:r>
      <w:r w:rsidR="005E0E39" w:rsidRPr="00F516AD">
        <w:rPr>
          <w:sz w:val="24"/>
          <w:szCs w:val="24"/>
          <w:lang w:val="en"/>
        </w:rPr>
        <w:t xml:space="preserve"> often </w:t>
      </w:r>
      <w:r w:rsidR="006917A8" w:rsidRPr="00F516AD">
        <w:rPr>
          <w:sz w:val="24"/>
          <w:szCs w:val="24"/>
          <w:lang w:val="en"/>
        </w:rPr>
        <w:t>remain</w:t>
      </w:r>
      <w:r w:rsidR="005E0E39" w:rsidRPr="00F516AD">
        <w:rPr>
          <w:sz w:val="24"/>
          <w:szCs w:val="24"/>
          <w:lang w:val="en"/>
        </w:rPr>
        <w:t xml:space="preserve"> </w:t>
      </w:r>
      <w:r w:rsidR="001F67F3" w:rsidRPr="00F516AD">
        <w:rPr>
          <w:sz w:val="24"/>
          <w:szCs w:val="24"/>
          <w:lang w:val="en"/>
        </w:rPr>
        <w:t>in</w:t>
      </w:r>
      <w:r w:rsidR="005E0E39" w:rsidRPr="00F516AD">
        <w:rPr>
          <w:sz w:val="24"/>
          <w:szCs w:val="24"/>
          <w:lang w:val="en"/>
        </w:rPr>
        <w:t xml:space="preserve"> these areas. </w:t>
      </w:r>
      <w:r w:rsidR="00230CAE" w:rsidRPr="00F516AD">
        <w:rPr>
          <w:sz w:val="24"/>
          <w:szCs w:val="24"/>
          <w:lang w:val="en"/>
        </w:rPr>
        <w:t xml:space="preserve">Having the flexibility to quickly restore </w:t>
      </w:r>
      <w:r w:rsidR="005E0E39" w:rsidRPr="00F516AD">
        <w:rPr>
          <w:sz w:val="24"/>
          <w:szCs w:val="24"/>
          <w:lang w:val="en"/>
        </w:rPr>
        <w:t xml:space="preserve">communications access via </w:t>
      </w:r>
      <w:r w:rsidR="001F67F3" w:rsidRPr="00F516AD">
        <w:rPr>
          <w:sz w:val="24"/>
          <w:szCs w:val="24"/>
          <w:lang w:val="en"/>
        </w:rPr>
        <w:t>wireless</w:t>
      </w:r>
      <w:r w:rsidR="005E0E39" w:rsidRPr="00F516AD">
        <w:rPr>
          <w:sz w:val="24"/>
          <w:szCs w:val="24"/>
          <w:lang w:val="en"/>
        </w:rPr>
        <w:t xml:space="preserve"> devices would literally be a lifeline </w:t>
      </w:r>
      <w:r w:rsidR="00BE0A3C" w:rsidRPr="00BE0A3C">
        <w:rPr>
          <w:sz w:val="24"/>
          <w:szCs w:val="24"/>
          <w:lang w:val="en"/>
        </w:rPr>
        <w:t>for residents</w:t>
      </w:r>
      <w:r w:rsidR="00F92680" w:rsidRPr="00BE0A3C">
        <w:rPr>
          <w:sz w:val="24"/>
          <w:szCs w:val="24"/>
          <w:lang w:val="en"/>
        </w:rPr>
        <w:t xml:space="preserve"> who </w:t>
      </w:r>
      <w:r w:rsidR="00120862">
        <w:rPr>
          <w:sz w:val="24"/>
          <w:szCs w:val="24"/>
          <w:lang w:val="en"/>
        </w:rPr>
        <w:t>need</w:t>
      </w:r>
      <w:r w:rsidR="00F92680" w:rsidRPr="00BE0A3C">
        <w:rPr>
          <w:sz w:val="24"/>
          <w:szCs w:val="24"/>
          <w:lang w:val="en"/>
        </w:rPr>
        <w:t xml:space="preserve"> </w:t>
      </w:r>
      <w:r w:rsidR="00120862">
        <w:rPr>
          <w:sz w:val="24"/>
          <w:szCs w:val="24"/>
          <w:lang w:val="en"/>
        </w:rPr>
        <w:t>saving</w:t>
      </w:r>
      <w:r w:rsidR="00F92680" w:rsidRPr="00BE0A3C">
        <w:rPr>
          <w:sz w:val="24"/>
          <w:szCs w:val="24"/>
          <w:lang w:val="en"/>
        </w:rPr>
        <w:t xml:space="preserve"> by </w:t>
      </w:r>
      <w:r w:rsidR="005E0E39" w:rsidRPr="00F516AD">
        <w:rPr>
          <w:sz w:val="24"/>
          <w:szCs w:val="24"/>
          <w:lang w:val="en"/>
        </w:rPr>
        <w:t>search and rescue parties.</w:t>
      </w:r>
    </w:p>
    <w:p w14:paraId="401F291E" w14:textId="77777777" w:rsidR="00F6523C" w:rsidRDefault="00F6523C" w:rsidP="00F516AD">
      <w:pPr>
        <w:pStyle w:val="ParaNum"/>
        <w:numPr>
          <w:ilvl w:val="0"/>
          <w:numId w:val="0"/>
        </w:numPr>
        <w:spacing w:after="0" w:line="480" w:lineRule="exact"/>
        <w:rPr>
          <w:b/>
          <w:sz w:val="24"/>
          <w:szCs w:val="24"/>
          <w:lang w:val="en"/>
        </w:rPr>
      </w:pPr>
    </w:p>
    <w:p w14:paraId="4F0424EF" w14:textId="11DF5727" w:rsidR="00464279" w:rsidRPr="00F516AD" w:rsidRDefault="007A6860" w:rsidP="00F516AD">
      <w:pPr>
        <w:pStyle w:val="ParaNum"/>
        <w:numPr>
          <w:ilvl w:val="0"/>
          <w:numId w:val="0"/>
        </w:numPr>
        <w:spacing w:after="0" w:line="480" w:lineRule="exact"/>
        <w:rPr>
          <w:b/>
          <w:sz w:val="24"/>
          <w:szCs w:val="24"/>
          <w:lang w:val="en"/>
        </w:rPr>
      </w:pPr>
      <w:r w:rsidRPr="00F516AD">
        <w:rPr>
          <w:b/>
          <w:sz w:val="24"/>
          <w:szCs w:val="24"/>
          <w:lang w:val="en"/>
        </w:rPr>
        <w:t>Reply to comments made by the Telecommunications for the Deaf and Hard of Hearing, Inc. (“TDI”), Hearing Loss Association of America (“HLAA”), National Association of the Deaf (“NAD”), Coalition on Inclusive Emergency Planning/Washington State Independent Living Council (“CIEP/WASILC”), and California Coalition of Agencies Serving the Deaf and Hard of Hearing, Inc. (“CCASDHH”) (collectively “Consumer Groups”)</w:t>
      </w:r>
    </w:p>
    <w:p w14:paraId="6D09C627" w14:textId="77777777" w:rsidR="009F1B4D" w:rsidRDefault="00B11297" w:rsidP="00F516AD">
      <w:pPr>
        <w:pStyle w:val="ParaNum"/>
        <w:numPr>
          <w:ilvl w:val="0"/>
          <w:numId w:val="0"/>
        </w:numPr>
        <w:spacing w:after="0" w:line="480" w:lineRule="exact"/>
        <w:ind w:firstLine="720"/>
        <w:rPr>
          <w:sz w:val="24"/>
          <w:szCs w:val="24"/>
        </w:rPr>
      </w:pPr>
      <w:r w:rsidRPr="00F516AD">
        <w:rPr>
          <w:sz w:val="24"/>
          <w:szCs w:val="24"/>
          <w:lang w:val="en"/>
        </w:rPr>
        <w:t>The Wireless RERC agrees with the Consumer Groups recommendation that “The Framework should specifically encourage carriers and municipalities to interact and coordinate with the deaf and hard of hearing community to get input on how best to meet their needs for emergency information and responses to wireless outages and restoration</w:t>
      </w:r>
      <w:r w:rsidR="00C51E0A" w:rsidRPr="00F516AD">
        <w:rPr>
          <w:sz w:val="24"/>
          <w:szCs w:val="24"/>
          <w:lang w:val="en"/>
        </w:rPr>
        <w:t>.</w:t>
      </w:r>
      <w:r w:rsidR="00C51E0A" w:rsidRPr="00F516AD">
        <w:rPr>
          <w:rStyle w:val="FootnoteReference"/>
          <w:sz w:val="24"/>
          <w:szCs w:val="24"/>
          <w:lang w:val="en"/>
        </w:rPr>
        <w:footnoteReference w:id="10"/>
      </w:r>
      <w:r w:rsidR="00C51E0A" w:rsidRPr="00F516AD">
        <w:rPr>
          <w:sz w:val="24"/>
          <w:szCs w:val="24"/>
          <w:lang w:val="en"/>
        </w:rPr>
        <w:t>”</w:t>
      </w:r>
      <w:r w:rsidR="007A57B1" w:rsidRPr="00F516AD">
        <w:rPr>
          <w:sz w:val="24"/>
          <w:szCs w:val="24"/>
          <w:lang w:val="en"/>
        </w:rPr>
        <w:t xml:space="preserve"> Just as disaster events uniquely impact wireless </w:t>
      </w:r>
      <w:r w:rsidR="007215FE" w:rsidRPr="00F516AD">
        <w:rPr>
          <w:sz w:val="24"/>
          <w:szCs w:val="24"/>
          <w:lang w:val="en"/>
        </w:rPr>
        <w:t>networks</w:t>
      </w:r>
      <w:r w:rsidR="007A57B1" w:rsidRPr="00F516AD">
        <w:rPr>
          <w:sz w:val="24"/>
          <w:szCs w:val="24"/>
          <w:lang w:val="en"/>
        </w:rPr>
        <w:t>, network outages have unique impacts on people with disabilities.</w:t>
      </w:r>
      <w:r w:rsidR="007215FE" w:rsidRPr="00F516AD">
        <w:rPr>
          <w:sz w:val="24"/>
          <w:szCs w:val="24"/>
          <w:lang w:val="en"/>
        </w:rPr>
        <w:t xml:space="preserve"> </w:t>
      </w:r>
      <w:r w:rsidR="007215FE" w:rsidRPr="00F516AD">
        <w:rPr>
          <w:sz w:val="24"/>
          <w:szCs w:val="24"/>
        </w:rPr>
        <w:t>Individuals with disabilities can be a vulnerable population during emergency situations for several reasons. This diverse demographic represents those with cognitive, physical, sensory, and psychiatric disabilities.</w:t>
      </w:r>
    </w:p>
    <w:p w14:paraId="2B03C480" w14:textId="77777777" w:rsidR="0015286E" w:rsidRPr="00F516AD" w:rsidRDefault="007215FE" w:rsidP="00F516AD">
      <w:pPr>
        <w:pStyle w:val="ParaNum"/>
        <w:numPr>
          <w:ilvl w:val="0"/>
          <w:numId w:val="0"/>
        </w:numPr>
        <w:spacing w:after="0" w:line="480" w:lineRule="exact"/>
        <w:ind w:firstLine="720"/>
        <w:rPr>
          <w:sz w:val="24"/>
          <w:szCs w:val="24"/>
        </w:rPr>
      </w:pPr>
      <w:r w:rsidRPr="00F516AD">
        <w:rPr>
          <w:sz w:val="24"/>
          <w:szCs w:val="24"/>
        </w:rPr>
        <w:t>Additionally, many older adults acquire disabilities as they age and must also be considered in regards to emergency services.</w:t>
      </w:r>
      <w:r w:rsidRPr="00F516AD">
        <w:rPr>
          <w:rStyle w:val="FootnoteReference"/>
          <w:sz w:val="24"/>
          <w:szCs w:val="24"/>
        </w:rPr>
        <w:footnoteReference w:id="11"/>
      </w:r>
      <w:r w:rsidRPr="00F516AD">
        <w:rPr>
          <w:sz w:val="24"/>
          <w:szCs w:val="24"/>
        </w:rPr>
        <w:t xml:space="preserve"> A commonly overlooked segment of the population by emergency managers includes people with disabilities and older adults. The assumption that they </w:t>
      </w:r>
      <w:r w:rsidR="009F1B4D">
        <w:rPr>
          <w:sz w:val="24"/>
          <w:szCs w:val="24"/>
        </w:rPr>
        <w:t>can</w:t>
      </w:r>
      <w:r w:rsidRPr="00F516AD">
        <w:rPr>
          <w:sz w:val="24"/>
          <w:szCs w:val="24"/>
        </w:rPr>
        <w:t xml:space="preserve"> safely and effectively evacuate independently creates a dangerous situation for those who are unable to do so (a) without assistance or (b) without </w:t>
      </w:r>
      <w:r w:rsidR="00FD312D" w:rsidRPr="00F516AD">
        <w:rPr>
          <w:sz w:val="24"/>
          <w:szCs w:val="24"/>
        </w:rPr>
        <w:t xml:space="preserve">operating </w:t>
      </w:r>
      <w:r w:rsidRPr="00F516AD">
        <w:rPr>
          <w:sz w:val="24"/>
          <w:szCs w:val="24"/>
        </w:rPr>
        <w:lastRenderedPageBreak/>
        <w:t xml:space="preserve">communications </w:t>
      </w:r>
      <w:r w:rsidR="00FD312D" w:rsidRPr="00F516AD">
        <w:rPr>
          <w:sz w:val="24"/>
          <w:szCs w:val="24"/>
        </w:rPr>
        <w:t>networks</w:t>
      </w:r>
      <w:r w:rsidRPr="00F516AD">
        <w:rPr>
          <w:sz w:val="24"/>
          <w:szCs w:val="24"/>
        </w:rPr>
        <w:fldChar w:fldCharType="begin"/>
      </w:r>
      <w:r w:rsidRPr="00F516AD">
        <w:rPr>
          <w:sz w:val="24"/>
          <w:szCs w:val="24"/>
        </w:rPr>
        <w:instrText xml:space="preserve"> ADDIN EN.CITE &lt;EndNote&gt;&lt;Cite&gt;&lt;Author&gt;Fox&lt;/Author&gt;&lt;Year&gt;2007&lt;/Year&gt;&lt;RecNum&gt;614&lt;/RecNum&gt;&lt;DisplayText&gt;(Fox, White, Rooney, &amp;amp; Rowland, 2007)&lt;/DisplayText&gt;&lt;record&gt;&lt;rec-number&gt;614&lt;/rec-number&gt;&lt;foreign-keys&gt;&lt;key app="EN" db-id="9555xf0sl0e52uezdzl599xbarpxape05v5f" timestamp="1407362022"&gt;614&lt;/key&gt;&lt;/foreign-keys&gt;&lt;ref-type name="Journal Article"&gt;17&lt;/ref-type&gt;&lt;contributors&gt;&lt;authors&gt;&lt;author&gt;Fox, Michael H&lt;/author&gt;&lt;author&gt;White, Glen W&lt;/author&gt;&lt;author&gt;Rooney, Catherine&lt;/author&gt;&lt;author&gt;Rowland, Jennifer L&lt;/author&gt;&lt;/authors&gt;&lt;/contributors&gt;&lt;titles&gt;&lt;title&gt;Disaster Preparedness and Response for Persons With Mobility Impairments Results From the University of Kansas Nobody Left Behind Study&lt;/title&gt;&lt;secondary-title&gt;Journal of Disability Policy Studies&lt;/secondary-title&gt;&lt;/titles&gt;&lt;periodical&gt;&lt;full-title&gt;Journal of Disability Policy Studies&lt;/full-title&gt;&lt;/periodical&gt;&lt;pages&gt;196-205&lt;/pages&gt;&lt;volume&gt;17&lt;/volume&gt;&lt;number&gt;4&lt;/number&gt;&lt;dates&gt;&lt;year&gt;2007&lt;/year&gt;&lt;/dates&gt;&lt;isbn&gt;1044-2073&lt;/isbn&gt;&lt;urls&gt;&lt;/urls&gt;&lt;/record&gt;&lt;/Cite&gt;&lt;/EndNote&gt;</w:instrText>
      </w:r>
      <w:r w:rsidRPr="00F516AD">
        <w:rPr>
          <w:sz w:val="24"/>
          <w:szCs w:val="24"/>
        </w:rPr>
        <w:fldChar w:fldCharType="end"/>
      </w:r>
      <w:r w:rsidRPr="00F516AD">
        <w:rPr>
          <w:sz w:val="24"/>
          <w:szCs w:val="24"/>
        </w:rPr>
        <w:t>.</w:t>
      </w:r>
      <w:r w:rsidR="00C210E2" w:rsidRPr="00F516AD">
        <w:rPr>
          <w:rStyle w:val="FootnoteReference"/>
          <w:sz w:val="24"/>
          <w:szCs w:val="24"/>
        </w:rPr>
        <w:footnoteReference w:id="12"/>
      </w:r>
      <w:r w:rsidRPr="00F516AD">
        <w:rPr>
          <w:sz w:val="24"/>
          <w:szCs w:val="24"/>
        </w:rPr>
        <w:t xml:space="preserve"> In fact, people with disabilities experience a higher chance of mortality during emergenc</w:t>
      </w:r>
      <w:r w:rsidR="009F1B4D">
        <w:rPr>
          <w:sz w:val="24"/>
          <w:szCs w:val="24"/>
        </w:rPr>
        <w:t>ie</w:t>
      </w:r>
      <w:r w:rsidRPr="00F516AD">
        <w:rPr>
          <w:sz w:val="24"/>
          <w:szCs w:val="24"/>
        </w:rPr>
        <w:t>s</w:t>
      </w:r>
      <w:r w:rsidR="0015286E" w:rsidRPr="00F516AD">
        <w:rPr>
          <w:sz w:val="24"/>
          <w:szCs w:val="24"/>
        </w:rPr>
        <w:t>.</w:t>
      </w:r>
      <w:r w:rsidR="0015286E" w:rsidRPr="00F516AD">
        <w:rPr>
          <w:rStyle w:val="FootnoteReference"/>
          <w:sz w:val="24"/>
          <w:szCs w:val="24"/>
        </w:rPr>
        <w:footnoteReference w:id="13"/>
      </w:r>
      <w:r w:rsidR="00C42363" w:rsidRPr="00F516AD">
        <w:rPr>
          <w:sz w:val="24"/>
          <w:szCs w:val="24"/>
        </w:rPr>
        <w:t xml:space="preserve"> To prepare communities to respond appropriately and </w:t>
      </w:r>
      <w:r w:rsidR="00891541" w:rsidRPr="00F516AD">
        <w:rPr>
          <w:sz w:val="24"/>
          <w:szCs w:val="24"/>
        </w:rPr>
        <w:t xml:space="preserve">educate </w:t>
      </w:r>
      <w:r w:rsidR="00C42363" w:rsidRPr="00F516AD">
        <w:rPr>
          <w:sz w:val="24"/>
          <w:szCs w:val="24"/>
        </w:rPr>
        <w:t>on how to stay abreast of outage information, state and local governments, in coordination with wireless providers that serve the area could develop accessible and inclusive outreach materials and disseminate the same across multiple media pathways in the form of PSAs on television and radio, as well as, social media</w:t>
      </w:r>
      <w:bookmarkEnd w:id="23"/>
      <w:bookmarkEnd w:id="24"/>
      <w:bookmarkEnd w:id="25"/>
      <w:bookmarkEnd w:id="26"/>
      <w:bookmarkEnd w:id="27"/>
      <w:r w:rsidR="00FD6D4A" w:rsidRPr="00F516AD">
        <w:rPr>
          <w:sz w:val="24"/>
          <w:szCs w:val="24"/>
        </w:rPr>
        <w:t>.</w:t>
      </w:r>
    </w:p>
    <w:p w14:paraId="4A961F91" w14:textId="77777777" w:rsidR="004A7B54" w:rsidRPr="00C943D8" w:rsidRDefault="004A7B54" w:rsidP="00C943D8">
      <w:pPr>
        <w:pStyle w:val="ParaNum"/>
        <w:numPr>
          <w:ilvl w:val="0"/>
          <w:numId w:val="0"/>
        </w:numPr>
        <w:spacing w:after="0" w:line="480" w:lineRule="exact"/>
        <w:ind w:firstLine="720"/>
        <w:rPr>
          <w:sz w:val="24"/>
          <w:szCs w:val="24"/>
        </w:rPr>
      </w:pPr>
      <w:r w:rsidRPr="00F516AD">
        <w:rPr>
          <w:sz w:val="24"/>
          <w:szCs w:val="24"/>
        </w:rPr>
        <w:t>In closing</w:t>
      </w:r>
      <w:r w:rsidR="002B4B71" w:rsidRPr="00F516AD">
        <w:rPr>
          <w:sz w:val="24"/>
          <w:szCs w:val="24"/>
        </w:rPr>
        <w:t xml:space="preserve">, </w:t>
      </w:r>
      <w:r w:rsidR="00281D8C" w:rsidRPr="00F516AD">
        <w:rPr>
          <w:sz w:val="24"/>
          <w:szCs w:val="24"/>
          <w:lang w:val="en"/>
        </w:rPr>
        <w:t xml:space="preserve">wireless communications infrastructure and the devices they support </w:t>
      </w:r>
      <w:r w:rsidR="00281D8C" w:rsidRPr="00F516AD">
        <w:rPr>
          <w:noProof/>
          <w:sz w:val="24"/>
          <w:szCs w:val="24"/>
        </w:rPr>
        <w:t>are increasingly integral to recovery and response effor</w:t>
      </w:r>
      <w:r w:rsidR="009F1B4D">
        <w:rPr>
          <w:noProof/>
          <w:sz w:val="24"/>
          <w:szCs w:val="24"/>
        </w:rPr>
        <w:t>ts</w:t>
      </w:r>
      <w:r w:rsidR="00281D8C" w:rsidRPr="00F516AD">
        <w:rPr>
          <w:noProof/>
          <w:sz w:val="24"/>
          <w:szCs w:val="24"/>
        </w:rPr>
        <w:t>. As such, the Wireless RERC commends the voluntary actions and investments of the wireless industry to strengthen their networks to withstand disaster events.</w:t>
      </w:r>
      <w:r w:rsidR="00281D8C" w:rsidRPr="00F516AD">
        <w:rPr>
          <w:sz w:val="24"/>
          <w:szCs w:val="24"/>
        </w:rPr>
        <w:t xml:space="preserve">  However, we contend that more can be done to ensure that people with disabilities are included in the planning and deliberations, and consequential actions of the Framework</w:t>
      </w:r>
      <w:r w:rsidR="00F516AD" w:rsidRPr="00F516AD">
        <w:rPr>
          <w:sz w:val="24"/>
          <w:szCs w:val="24"/>
        </w:rPr>
        <w:t>.</w:t>
      </w:r>
    </w:p>
    <w:p w14:paraId="7C45D8EF" w14:textId="77777777" w:rsidR="00563A06" w:rsidRDefault="00563A06" w:rsidP="00C943D8">
      <w:pPr>
        <w:tabs>
          <w:tab w:val="left" w:pos="3612"/>
        </w:tabs>
        <w:spacing w:line="480" w:lineRule="exact"/>
        <w:ind w:firstLine="720"/>
        <w:rPr>
          <w:sz w:val="24"/>
          <w:szCs w:val="24"/>
        </w:rPr>
      </w:pPr>
      <w:r>
        <w:rPr>
          <w:sz w:val="24"/>
          <w:szCs w:val="24"/>
        </w:rPr>
        <w:t>Respectfully submitted,</w:t>
      </w:r>
      <w:r>
        <w:rPr>
          <w:sz w:val="24"/>
          <w:szCs w:val="24"/>
        </w:rPr>
        <w:tab/>
      </w:r>
    </w:p>
    <w:p w14:paraId="1EA0522C" w14:textId="77777777" w:rsidR="00563A06" w:rsidRDefault="00E35EB0" w:rsidP="00563A06">
      <w:pPr>
        <w:tabs>
          <w:tab w:val="left" w:pos="3612"/>
        </w:tabs>
        <w:spacing w:line="480" w:lineRule="auto"/>
        <w:ind w:firstLine="720"/>
        <w:rPr>
          <w:color w:val="000000"/>
          <w:sz w:val="24"/>
          <w:szCs w:val="24"/>
          <w:shd w:val="clear" w:color="auto" w:fill="FFFFFF"/>
        </w:rPr>
      </w:pPr>
      <w:r>
        <w:rPr>
          <w:noProof/>
          <w:sz w:val="24"/>
          <w:szCs w:val="24"/>
        </w:rPr>
        <w:drawing>
          <wp:inline distT="0" distB="0" distL="0" distR="0" wp14:anchorId="441FC57F" wp14:editId="11E86E1C">
            <wp:extent cx="1219200" cy="485775"/>
            <wp:effectExtent l="0" t="0" r="0" b="9525"/>
            <wp:docPr id="3" name="Picture 3" descr="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485775"/>
                    </a:xfrm>
                    <a:prstGeom prst="rect">
                      <a:avLst/>
                    </a:prstGeom>
                    <a:noFill/>
                    <a:ln>
                      <a:noFill/>
                    </a:ln>
                  </pic:spPr>
                </pic:pic>
              </a:graphicData>
            </a:graphic>
          </wp:inline>
        </w:drawing>
      </w:r>
    </w:p>
    <w:p w14:paraId="077D1384" w14:textId="77777777" w:rsidR="00E35EB0" w:rsidRPr="00C110AF" w:rsidRDefault="00E35EB0" w:rsidP="00E35EB0">
      <w:pPr>
        <w:ind w:firstLine="720"/>
        <w:rPr>
          <w:sz w:val="24"/>
          <w:szCs w:val="24"/>
          <w:shd w:val="clear" w:color="auto" w:fill="FFFFFF"/>
        </w:rPr>
      </w:pPr>
      <w:r w:rsidRPr="00580EE9">
        <w:rPr>
          <w:color w:val="000000" w:themeColor="text1"/>
          <w:sz w:val="24"/>
          <w:szCs w:val="24"/>
          <w:shd w:val="clear" w:color="auto" w:fill="FFFFFF"/>
        </w:rPr>
        <w:t>Salimah LaForce,</w:t>
      </w:r>
      <w:r>
        <w:rPr>
          <w:color w:val="000000" w:themeColor="text1"/>
          <w:sz w:val="24"/>
          <w:szCs w:val="24"/>
          <w:shd w:val="clear" w:color="auto" w:fill="FFFFFF"/>
        </w:rPr>
        <w:t xml:space="preserve"> and</w:t>
      </w:r>
    </w:p>
    <w:p w14:paraId="646264E6" w14:textId="77777777" w:rsidR="00E35EB0" w:rsidRDefault="00E35EB0" w:rsidP="00563A06">
      <w:pPr>
        <w:ind w:firstLine="720"/>
        <w:rPr>
          <w:color w:val="000000" w:themeColor="text1"/>
          <w:sz w:val="24"/>
          <w:szCs w:val="24"/>
          <w:shd w:val="clear" w:color="auto" w:fill="FFFFFF"/>
        </w:rPr>
      </w:pPr>
      <w:r>
        <w:rPr>
          <w:color w:val="000000" w:themeColor="text1"/>
          <w:sz w:val="24"/>
          <w:szCs w:val="24"/>
          <w:shd w:val="clear" w:color="auto" w:fill="FFFFFF"/>
        </w:rPr>
        <w:t>Helena Mitchell, Ph.D.</w:t>
      </w:r>
    </w:p>
    <w:p w14:paraId="2DC5C35E" w14:textId="77777777" w:rsidR="00563A06" w:rsidRPr="00580EE9" w:rsidRDefault="00563A06" w:rsidP="00563A06">
      <w:pPr>
        <w:ind w:firstLine="720"/>
        <w:rPr>
          <w:color w:val="000000" w:themeColor="text1"/>
          <w:sz w:val="24"/>
          <w:szCs w:val="24"/>
          <w:shd w:val="clear" w:color="auto" w:fill="FFFFFF"/>
        </w:rPr>
      </w:pPr>
      <w:r w:rsidRPr="00580EE9">
        <w:rPr>
          <w:color w:val="000000" w:themeColor="text1"/>
          <w:sz w:val="24"/>
          <w:szCs w:val="24"/>
          <w:shd w:val="clear" w:color="auto" w:fill="FFFFFF"/>
        </w:rPr>
        <w:t>Georgia Institute of Technology</w:t>
      </w:r>
    </w:p>
    <w:p w14:paraId="16E4B1A3" w14:textId="77777777" w:rsidR="00563A06" w:rsidRPr="00580EE9" w:rsidRDefault="00563A06" w:rsidP="00563A06">
      <w:pPr>
        <w:ind w:firstLine="720"/>
        <w:rPr>
          <w:color w:val="000000" w:themeColor="text1"/>
          <w:sz w:val="24"/>
          <w:szCs w:val="24"/>
          <w:shd w:val="clear" w:color="auto" w:fill="FFFFFF"/>
        </w:rPr>
      </w:pPr>
      <w:r w:rsidRPr="00580EE9">
        <w:rPr>
          <w:color w:val="000000" w:themeColor="text1"/>
          <w:sz w:val="24"/>
          <w:szCs w:val="24"/>
          <w:shd w:val="clear" w:color="auto" w:fill="FFFFFF"/>
        </w:rPr>
        <w:t>500 10th Street, 3rd Fl. NW</w:t>
      </w:r>
    </w:p>
    <w:p w14:paraId="5E7F6E70" w14:textId="77777777" w:rsidR="00563A06" w:rsidRPr="00580EE9" w:rsidRDefault="00563A06" w:rsidP="00563A06">
      <w:pPr>
        <w:ind w:firstLine="720"/>
        <w:rPr>
          <w:color w:val="000000" w:themeColor="text1"/>
          <w:sz w:val="24"/>
          <w:szCs w:val="24"/>
          <w:shd w:val="clear" w:color="auto" w:fill="FFFFFF"/>
        </w:rPr>
      </w:pPr>
      <w:r w:rsidRPr="00580EE9">
        <w:rPr>
          <w:color w:val="000000" w:themeColor="text1"/>
          <w:sz w:val="24"/>
          <w:szCs w:val="24"/>
          <w:shd w:val="clear" w:color="auto" w:fill="FFFFFF"/>
        </w:rPr>
        <w:t>Atlanta, GA 30332-0620</w:t>
      </w:r>
    </w:p>
    <w:p w14:paraId="59BCAFAE" w14:textId="77777777" w:rsidR="00563A06" w:rsidRPr="00580EE9" w:rsidRDefault="00563A06" w:rsidP="00563A06">
      <w:pPr>
        <w:ind w:firstLine="720"/>
        <w:rPr>
          <w:color w:val="000000" w:themeColor="text1"/>
          <w:sz w:val="24"/>
          <w:szCs w:val="24"/>
          <w:shd w:val="clear" w:color="auto" w:fill="FFFFFF"/>
        </w:rPr>
      </w:pPr>
      <w:r w:rsidRPr="00580EE9">
        <w:rPr>
          <w:color w:val="000000" w:themeColor="text1"/>
          <w:sz w:val="24"/>
          <w:szCs w:val="24"/>
          <w:shd w:val="clear" w:color="auto" w:fill="FFFFFF"/>
        </w:rPr>
        <w:t>Phone: (404) 385-4640</w:t>
      </w:r>
    </w:p>
    <w:p w14:paraId="36AC7CC1" w14:textId="77777777" w:rsidR="00563A06" w:rsidRPr="00580EE9" w:rsidRDefault="00563A06" w:rsidP="00563A06">
      <w:pPr>
        <w:ind w:firstLine="720"/>
        <w:rPr>
          <w:color w:val="000000" w:themeColor="text1"/>
          <w:sz w:val="24"/>
          <w:szCs w:val="24"/>
          <w:shd w:val="clear" w:color="auto" w:fill="FFFFFF"/>
        </w:rPr>
      </w:pPr>
    </w:p>
    <w:p w14:paraId="123ACA17" w14:textId="77777777" w:rsidR="00563A06" w:rsidRDefault="00563A06" w:rsidP="00563A06">
      <w:pPr>
        <w:ind w:firstLine="720"/>
        <w:rPr>
          <w:color w:val="000000" w:themeColor="text1"/>
          <w:sz w:val="24"/>
          <w:szCs w:val="24"/>
          <w:shd w:val="clear" w:color="auto" w:fill="FFFFFF"/>
        </w:rPr>
      </w:pPr>
      <w:r w:rsidRPr="00580EE9">
        <w:rPr>
          <w:color w:val="000000" w:themeColor="text1"/>
          <w:sz w:val="24"/>
          <w:szCs w:val="24"/>
          <w:shd w:val="clear" w:color="auto" w:fill="FFFFFF"/>
        </w:rPr>
        <w:t xml:space="preserve">Dated this </w:t>
      </w:r>
      <w:r w:rsidR="00637B06">
        <w:rPr>
          <w:color w:val="000000" w:themeColor="text1"/>
          <w:sz w:val="24"/>
          <w:szCs w:val="24"/>
          <w:shd w:val="clear" w:color="auto" w:fill="FFFFFF"/>
        </w:rPr>
        <w:t>20</w:t>
      </w:r>
      <w:r w:rsidRPr="00B06291">
        <w:rPr>
          <w:color w:val="000000" w:themeColor="text1"/>
          <w:sz w:val="24"/>
          <w:szCs w:val="24"/>
          <w:shd w:val="clear" w:color="auto" w:fill="FFFFFF"/>
          <w:vertAlign w:val="superscript"/>
        </w:rPr>
        <w:t>th</w:t>
      </w:r>
      <w:r>
        <w:rPr>
          <w:color w:val="000000" w:themeColor="text1"/>
          <w:sz w:val="24"/>
          <w:szCs w:val="24"/>
          <w:shd w:val="clear" w:color="auto" w:fill="FFFFFF"/>
        </w:rPr>
        <w:t xml:space="preserve"> </w:t>
      </w:r>
      <w:r w:rsidRPr="00580EE9">
        <w:rPr>
          <w:color w:val="000000" w:themeColor="text1"/>
          <w:sz w:val="24"/>
          <w:szCs w:val="24"/>
          <w:shd w:val="clear" w:color="auto" w:fill="FFFFFF"/>
        </w:rPr>
        <w:t xml:space="preserve">day of </w:t>
      </w:r>
      <w:r w:rsidR="00637B06">
        <w:rPr>
          <w:color w:val="000000" w:themeColor="text1"/>
          <w:sz w:val="24"/>
          <w:szCs w:val="24"/>
          <w:shd w:val="clear" w:color="auto" w:fill="FFFFFF"/>
        </w:rPr>
        <w:t>May 2019</w:t>
      </w:r>
    </w:p>
    <w:p w14:paraId="74677CE4" w14:textId="77777777" w:rsidR="00846786" w:rsidRPr="00580EE9" w:rsidRDefault="00846786" w:rsidP="00563A06">
      <w:pPr>
        <w:ind w:firstLine="720"/>
        <w:rPr>
          <w:color w:val="000000" w:themeColor="text1"/>
          <w:sz w:val="24"/>
          <w:szCs w:val="24"/>
          <w:shd w:val="clear" w:color="auto" w:fill="FFFFFF"/>
        </w:rPr>
      </w:pPr>
    </w:p>
    <w:p w14:paraId="412F1AEF" w14:textId="77777777" w:rsidR="002C00E8" w:rsidRPr="008E514F" w:rsidRDefault="002C00E8" w:rsidP="004A7B54">
      <w:pPr>
        <w:spacing w:after="120"/>
        <w:contextualSpacing/>
      </w:pPr>
    </w:p>
    <w:sectPr w:rsidR="002C00E8" w:rsidRPr="008E514F">
      <w:headerReference w:type="default" r:id="rId12"/>
      <w:footerReference w:type="even" r:id="rId13"/>
      <w:footerReference w:type="defaul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5B628" w14:textId="77777777" w:rsidR="0015526A" w:rsidRDefault="0015526A">
      <w:pPr>
        <w:spacing w:line="20" w:lineRule="exact"/>
      </w:pPr>
    </w:p>
  </w:endnote>
  <w:endnote w:type="continuationSeparator" w:id="0">
    <w:p w14:paraId="4477F2E9" w14:textId="77777777" w:rsidR="0015526A" w:rsidRDefault="0015526A">
      <w:r>
        <w:t xml:space="preserve"> </w:t>
      </w:r>
    </w:p>
  </w:endnote>
  <w:endnote w:type="continuationNotice" w:id="1">
    <w:p w14:paraId="6DFBB8A7" w14:textId="77777777" w:rsidR="0015526A" w:rsidRDefault="0015526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DE2BD" w14:textId="77777777" w:rsidR="005F39A2" w:rsidRDefault="005F39A2" w:rsidP="0055614C">
    <w:pPr>
      <w:pStyle w:val="Footer"/>
      <w:framePr w:wrap="around" w:vAnchor="text" w:hAnchor="margin" w:xAlign="center" w:y="1"/>
    </w:pPr>
    <w:r>
      <w:fldChar w:fldCharType="begin"/>
    </w:r>
    <w:r>
      <w:instrText xml:space="preserve">PAGE  </w:instrText>
    </w:r>
    <w:r>
      <w:fldChar w:fldCharType="end"/>
    </w:r>
  </w:p>
  <w:p w14:paraId="56A03856" w14:textId="77777777" w:rsidR="005F39A2" w:rsidRDefault="005F39A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C3A09" w14:textId="1E6A2795" w:rsidR="005F39A2" w:rsidRDefault="005F39A2" w:rsidP="0055614C">
    <w:pPr>
      <w:pStyle w:val="Footer"/>
      <w:framePr w:wrap="around" w:vAnchor="text" w:hAnchor="margin" w:xAlign="center" w:y="1"/>
    </w:pPr>
    <w:r>
      <w:fldChar w:fldCharType="begin"/>
    </w:r>
    <w:r>
      <w:instrText xml:space="preserve">PAGE  </w:instrText>
    </w:r>
    <w:r>
      <w:fldChar w:fldCharType="separate"/>
    </w:r>
    <w:r w:rsidR="00913370">
      <w:rPr>
        <w:noProof/>
      </w:rPr>
      <w:t>7</w:t>
    </w:r>
    <w:r>
      <w:fldChar w:fldCharType="end"/>
    </w:r>
  </w:p>
  <w:p w14:paraId="6A8B65C6" w14:textId="77777777" w:rsidR="005F39A2" w:rsidRDefault="005F39A2">
    <w:pPr>
      <w:suppressAutoHyphens/>
      <w:spacing w:line="227" w:lineRule="auto"/>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3D430" w14:textId="77777777" w:rsidR="005F39A2" w:rsidRDefault="005F39A2">
    <w:pPr>
      <w:pStyle w:val="Footer"/>
      <w:tabs>
        <w:tab w:val="clear" w:pos="864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86898" w14:textId="77777777" w:rsidR="0015526A" w:rsidRDefault="0015526A">
      <w:r>
        <w:separator/>
      </w:r>
    </w:p>
  </w:footnote>
  <w:footnote w:type="continuationSeparator" w:id="0">
    <w:p w14:paraId="6EC7CE8B" w14:textId="77777777" w:rsidR="0015526A" w:rsidRDefault="0015526A" w:rsidP="00C721AC">
      <w:pPr>
        <w:spacing w:before="120"/>
        <w:rPr>
          <w:sz w:val="20"/>
        </w:rPr>
      </w:pPr>
      <w:r>
        <w:rPr>
          <w:sz w:val="20"/>
        </w:rPr>
        <w:t xml:space="preserve">(Continued from previous page)  </w:t>
      </w:r>
      <w:r>
        <w:rPr>
          <w:sz w:val="20"/>
        </w:rPr>
        <w:separator/>
      </w:r>
    </w:p>
  </w:footnote>
  <w:footnote w:type="continuationNotice" w:id="1">
    <w:p w14:paraId="2C8CDF04" w14:textId="77777777" w:rsidR="0015526A" w:rsidRDefault="0015526A" w:rsidP="00C721AC">
      <w:pPr>
        <w:jc w:val="right"/>
        <w:rPr>
          <w:sz w:val="20"/>
        </w:rPr>
      </w:pPr>
      <w:r>
        <w:rPr>
          <w:sz w:val="20"/>
        </w:rPr>
        <w:t>(continued . . .)</w:t>
      </w:r>
    </w:p>
  </w:footnote>
  <w:footnote w:id="2">
    <w:p w14:paraId="6AFEEE32" w14:textId="77777777" w:rsidR="005F39A2" w:rsidRDefault="005F39A2">
      <w:pPr>
        <w:pStyle w:val="FootnoteText"/>
      </w:pPr>
      <w:r>
        <w:rPr>
          <w:rStyle w:val="FootnoteReference"/>
        </w:rPr>
        <w:footnoteRef/>
      </w:r>
      <w:r>
        <w:t xml:space="preserve"> </w:t>
      </w:r>
      <w:r w:rsidRPr="00380133">
        <w:t xml:space="preserve">The Rehabilitation Engineering Research Center for Wireless Inclusive Technologies (Wireless RERC) is sponsored by </w:t>
      </w:r>
      <w:r w:rsidRPr="00380133">
        <w:rPr>
          <w:bCs/>
        </w:rPr>
        <w:t xml:space="preserve">the National Institute on Disability, Independent Living, and Rehabilitation Research (NIDILRR grant number 90RE5025-01).  NIDILRR is within the Administration for Community Living (ACL), Department of Health and Human Services (HHS).  The contents of this filing do not necessarily represent the policy of NIDILRR, ACL, HHS, and you should not assume endorsement by the Federal Government.                                                            </w:t>
      </w:r>
      <w:r w:rsidRPr="00380133">
        <w:t xml:space="preserve">        </w:t>
      </w:r>
    </w:p>
  </w:footnote>
  <w:footnote w:id="3">
    <w:p w14:paraId="5104F26B" w14:textId="63910E5B" w:rsidR="00466E98" w:rsidRPr="00654A25" w:rsidRDefault="00466E98" w:rsidP="00466E98">
      <w:pPr>
        <w:pStyle w:val="FootnoteText"/>
        <w:ind w:left="720" w:hanging="720"/>
      </w:pPr>
      <w:r w:rsidRPr="00654A25">
        <w:rPr>
          <w:rStyle w:val="FootnoteReference"/>
        </w:rPr>
        <w:footnoteRef/>
      </w:r>
      <w:r w:rsidRPr="00654A25">
        <w:t xml:space="preserve"> CTIA. (2017). Reply comments submitted in response to the </w:t>
      </w:r>
      <w:r w:rsidRPr="00654A25">
        <w:rPr>
          <w:i/>
        </w:rPr>
        <w:t xml:space="preserve">Public Notice Response Efforts Undertaken During 2017 Hurricane Season </w:t>
      </w:r>
      <w:r w:rsidRPr="00654A25">
        <w:t xml:space="preserve">[17-344]. Available at </w:t>
      </w:r>
      <w:hyperlink r:id="rId1" w:history="1">
        <w:r w:rsidRPr="00654A25">
          <w:rPr>
            <w:rStyle w:val="Hyperlink"/>
          </w:rPr>
          <w:t>https://ecfsapi.fcc.gov/file/1022225667281/180221%20CTIA%20Hurricane%20Response%20PN%20Reply%20Comments%20FINAL.pdf</w:t>
        </w:r>
      </w:hyperlink>
    </w:p>
  </w:footnote>
  <w:footnote w:id="4">
    <w:p w14:paraId="45D4CF42" w14:textId="77777777" w:rsidR="00466E98" w:rsidRPr="00654A25" w:rsidRDefault="00466E98" w:rsidP="00466E98">
      <w:pPr>
        <w:pStyle w:val="FootnoteText"/>
        <w:ind w:left="720" w:hanging="720"/>
      </w:pPr>
      <w:r w:rsidRPr="00654A25">
        <w:rPr>
          <w:rStyle w:val="FootnoteReference"/>
        </w:rPr>
        <w:footnoteRef/>
      </w:r>
      <w:r w:rsidRPr="00654A25">
        <w:t xml:space="preserve"> Ibid, 7.</w:t>
      </w:r>
    </w:p>
  </w:footnote>
  <w:footnote w:id="5">
    <w:p w14:paraId="101FEF65" w14:textId="2546DBB3" w:rsidR="009311FA" w:rsidRDefault="009311FA" w:rsidP="00F516AD">
      <w:pPr>
        <w:pStyle w:val="FootnoteText"/>
      </w:pPr>
      <w:r>
        <w:rPr>
          <w:rStyle w:val="FootnoteReference"/>
        </w:rPr>
        <w:footnoteRef/>
      </w:r>
      <w:r>
        <w:t xml:space="preserve"> Comments of CTIA</w:t>
      </w:r>
      <w:r w:rsidR="00F516AD">
        <w:t>. (2019). In the Matter of Improving The Wireless Re</w:t>
      </w:r>
      <w:r w:rsidR="00C943D8">
        <w:t xml:space="preserve">siliency Cooperative Framework [11-60]. Washington, D.C., April 29, 2019. Available at </w:t>
      </w:r>
      <w:hyperlink r:id="rId2" w:history="1">
        <w:r w:rsidR="00C943D8" w:rsidRPr="00874647">
          <w:rPr>
            <w:rStyle w:val="Hyperlink"/>
          </w:rPr>
          <w:t>https://www.fcc.gov/ecfs/filing/104302566615471</w:t>
        </w:r>
      </w:hyperlink>
      <w:r w:rsidR="00C943D8">
        <w:t xml:space="preserve"> </w:t>
      </w:r>
    </w:p>
  </w:footnote>
  <w:footnote w:id="6">
    <w:p w14:paraId="342FB60E" w14:textId="30546949" w:rsidR="009311FA" w:rsidRDefault="009311FA">
      <w:pPr>
        <w:pStyle w:val="FootnoteText"/>
      </w:pPr>
      <w:r>
        <w:rPr>
          <w:rStyle w:val="FootnoteReference"/>
        </w:rPr>
        <w:footnoteRef/>
      </w:r>
      <w:r>
        <w:t xml:space="preserve"> Comments of Consumer Groups. (2019). </w:t>
      </w:r>
      <w:r w:rsidR="00C943D8">
        <w:t xml:space="preserve">In the Matter of Improving The Wireless Resiliency Cooperative Framework [11-60]. Washington, D.C., April 29, 2019. Available at </w:t>
      </w:r>
      <w:hyperlink r:id="rId3" w:history="1">
        <w:r w:rsidR="00C943D8" w:rsidRPr="00874647">
          <w:rPr>
            <w:rStyle w:val="Hyperlink"/>
          </w:rPr>
          <w:t>https://www.fcc.gov/ecfs/filing/10430247040772</w:t>
        </w:r>
      </w:hyperlink>
      <w:r w:rsidR="00C943D8">
        <w:t xml:space="preserve"> </w:t>
      </w:r>
    </w:p>
  </w:footnote>
  <w:footnote w:id="7">
    <w:p w14:paraId="2568120D" w14:textId="773C0406" w:rsidR="009311FA" w:rsidRDefault="009311FA" w:rsidP="00C943D8">
      <w:pPr>
        <w:pStyle w:val="FootnoteText"/>
      </w:pPr>
      <w:r>
        <w:rPr>
          <w:rStyle w:val="FootnoteReference"/>
        </w:rPr>
        <w:footnoteRef/>
      </w:r>
      <w:r>
        <w:t xml:space="preserve"> Comments of Verizon. (2019). </w:t>
      </w:r>
      <w:r w:rsidR="00C943D8">
        <w:t xml:space="preserve">In the Matter of Improving The Wireless Resiliency Cooperative Framework [11-60]. Washington, D.C., April 29, 2019. Available at </w:t>
      </w:r>
      <w:hyperlink r:id="rId4" w:history="1">
        <w:r w:rsidR="00C943D8" w:rsidRPr="00874647">
          <w:rPr>
            <w:rStyle w:val="Hyperlink"/>
          </w:rPr>
          <w:t>https://www.fcc.gov/ecfs/filing/10430525524260</w:t>
        </w:r>
      </w:hyperlink>
      <w:r w:rsidR="00C943D8">
        <w:t xml:space="preserve"> </w:t>
      </w:r>
    </w:p>
  </w:footnote>
  <w:footnote w:id="8">
    <w:p w14:paraId="248943D5" w14:textId="43C47ABA" w:rsidR="00A26670" w:rsidRDefault="00A26670" w:rsidP="00A26670">
      <w:pPr>
        <w:pStyle w:val="FootnoteText"/>
      </w:pPr>
      <w:r>
        <w:rPr>
          <w:rStyle w:val="FootnoteReference"/>
        </w:rPr>
        <w:footnoteRef/>
      </w:r>
      <w:r>
        <w:t xml:space="preserve"> </w:t>
      </w:r>
      <w:r w:rsidRPr="002D74FE">
        <w:t xml:space="preserve">Caruthers, A. (2017). Disability in rural America.  Retrieved from </w:t>
      </w:r>
      <w:hyperlink r:id="rId5" w:history="1">
        <w:r w:rsidRPr="002D74FE">
          <w:rPr>
            <w:rStyle w:val="Hyperlink"/>
          </w:rPr>
          <w:t>https://www.communitycommons.org/2017/02/disability-in-rural-america/</w:t>
        </w:r>
      </w:hyperlink>
      <w:r w:rsidRPr="002D74FE">
        <w:t xml:space="preserve"> </w:t>
      </w:r>
    </w:p>
  </w:footnote>
  <w:footnote w:id="9">
    <w:p w14:paraId="40FC0451" w14:textId="1D1C5A2E" w:rsidR="009311FA" w:rsidRDefault="009311FA">
      <w:pPr>
        <w:pStyle w:val="FootnoteText"/>
      </w:pPr>
      <w:r>
        <w:rPr>
          <w:rStyle w:val="FootnoteReference"/>
        </w:rPr>
        <w:footnoteRef/>
      </w:r>
      <w:r>
        <w:t xml:space="preserve"> Comments of Verizon. (2019). </w:t>
      </w:r>
      <w:r w:rsidR="00C943D8">
        <w:t xml:space="preserve">In the Matter of Improving The Wireless Resiliency Cooperative Framework [11-60]. Washington, D.C., April 29, 2019. Available at </w:t>
      </w:r>
      <w:hyperlink r:id="rId6" w:history="1">
        <w:r w:rsidR="00C943D8" w:rsidRPr="00874647">
          <w:rPr>
            <w:rStyle w:val="Hyperlink"/>
          </w:rPr>
          <w:t>https://www.fcc.gov/ecfs/filing/10430525524260</w:t>
        </w:r>
      </w:hyperlink>
    </w:p>
  </w:footnote>
  <w:footnote w:id="10">
    <w:p w14:paraId="1F3E6B46" w14:textId="42B2194E" w:rsidR="00C51E0A" w:rsidRDefault="00C51E0A">
      <w:pPr>
        <w:pStyle w:val="FootnoteText"/>
      </w:pPr>
      <w:r>
        <w:rPr>
          <w:rStyle w:val="FootnoteReference"/>
        </w:rPr>
        <w:footnoteRef/>
      </w:r>
      <w:r>
        <w:t xml:space="preserve"> Comments of Consumer Groups. (2019). </w:t>
      </w:r>
      <w:r w:rsidR="00C943D8">
        <w:t xml:space="preserve">In the Matter of Improving The Wireless Resiliency Cooperative Framework [11-60]. Washington, D.C., April 29, 2019. Available at </w:t>
      </w:r>
      <w:hyperlink r:id="rId7" w:history="1">
        <w:r w:rsidR="00C943D8" w:rsidRPr="00874647">
          <w:rPr>
            <w:rStyle w:val="Hyperlink"/>
          </w:rPr>
          <w:t>https://www.fcc.gov/ecfs/filing/10430247040772</w:t>
        </w:r>
      </w:hyperlink>
      <w:r w:rsidR="00C943D8">
        <w:t xml:space="preserve"> </w:t>
      </w:r>
    </w:p>
  </w:footnote>
  <w:footnote w:id="11">
    <w:p w14:paraId="38A619B9" w14:textId="77777777" w:rsidR="007215FE" w:rsidRDefault="007215FE">
      <w:pPr>
        <w:pStyle w:val="FootnoteText"/>
      </w:pPr>
      <w:r>
        <w:rPr>
          <w:rStyle w:val="FootnoteReference"/>
        </w:rPr>
        <w:footnoteRef/>
      </w:r>
      <w:r>
        <w:t xml:space="preserve"> </w:t>
      </w:r>
      <w:r w:rsidRPr="007215FE">
        <w:t xml:space="preserve">Dyer, C. B., Regev, M., Burnett, J., Festa, N., &amp; Cloyd, B. (2008). SWiFT: A rapid triage tool for vulnerable older adults in disaster situations. </w:t>
      </w:r>
      <w:r w:rsidRPr="007215FE">
        <w:rPr>
          <w:i/>
        </w:rPr>
        <w:t>Disaster medicine and public health preparedness, 2</w:t>
      </w:r>
      <w:r w:rsidRPr="007215FE">
        <w:t xml:space="preserve">(S1), S45-S50. </w:t>
      </w:r>
    </w:p>
  </w:footnote>
  <w:footnote w:id="12">
    <w:p w14:paraId="57359803" w14:textId="77777777" w:rsidR="00C210E2" w:rsidRDefault="00C210E2">
      <w:pPr>
        <w:pStyle w:val="FootnoteText"/>
      </w:pPr>
      <w:r>
        <w:rPr>
          <w:rStyle w:val="FootnoteReference"/>
        </w:rPr>
        <w:footnoteRef/>
      </w:r>
      <w:r>
        <w:t xml:space="preserve"> </w:t>
      </w:r>
      <w:r w:rsidRPr="00C210E2">
        <w:t xml:space="preserve">Fox, M. H., White, G. W., Rooney, C., &amp; Rowland, J. L. (2007). Disaster Preparedness and Response for Persons With Mobility Impairments Results From the University of Kansas Nobody Left Behind Study. </w:t>
      </w:r>
      <w:r w:rsidRPr="00C210E2">
        <w:rPr>
          <w:i/>
        </w:rPr>
        <w:t>Journal of Disability Policy Studies, 17</w:t>
      </w:r>
      <w:r w:rsidRPr="00C210E2">
        <w:t xml:space="preserve">(4), 196-205. </w:t>
      </w:r>
    </w:p>
  </w:footnote>
  <w:footnote w:id="13">
    <w:p w14:paraId="3E1581B5" w14:textId="77777777" w:rsidR="0015286E" w:rsidRPr="0015286E" w:rsidRDefault="0015286E" w:rsidP="0015286E">
      <w:pPr>
        <w:pStyle w:val="FootnoteText"/>
      </w:pPr>
      <w:r>
        <w:rPr>
          <w:rStyle w:val="FootnoteReference"/>
        </w:rPr>
        <w:footnoteRef/>
      </w:r>
      <w:r>
        <w:t xml:space="preserve"> </w:t>
      </w:r>
      <w:r w:rsidRPr="0015286E">
        <w:t xml:space="preserve">Chou, Y.-J., Huang, N., Lee, C.-H., Tsai, S.-L., Chen, L.-S., &amp; Chang, H.-J. (2004). Who is at risk of death in an earthquake? </w:t>
      </w:r>
      <w:r w:rsidRPr="0015286E">
        <w:rPr>
          <w:i/>
        </w:rPr>
        <w:t>American Journal of Epidemiology, 160</w:t>
      </w:r>
      <w:r w:rsidRPr="0015286E">
        <w:t xml:space="preserve">(7), 688-695. </w:t>
      </w:r>
    </w:p>
    <w:p w14:paraId="5A1DD5B1" w14:textId="77777777" w:rsidR="0015286E" w:rsidRDefault="0015286E">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18224" w14:textId="77777777" w:rsidR="005F39A2" w:rsidRDefault="005F39A2">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2BF53F59" wp14:editId="7A8C1497">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42BA25C"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37DA87C1" w14:textId="77777777" w:rsidR="005F39A2" w:rsidRDefault="005F39A2">
    <w:pPr>
      <w:spacing w:after="389" w:line="100" w:lineRule="exact"/>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84B453C"/>
    <w:multiLevelType w:val="singleLevel"/>
    <w:tmpl w:val="40A8E97A"/>
    <w:lvl w:ilvl="0">
      <w:start w:val="1"/>
      <w:numFmt w:val="decimal"/>
      <w:lvlText w:val="%1."/>
      <w:lvlJc w:val="left"/>
      <w:pPr>
        <w:tabs>
          <w:tab w:val="num" w:pos="1080"/>
        </w:tabs>
        <w:ind w:left="0" w:firstLine="720"/>
      </w:pPr>
    </w:lvl>
  </w:abstractNum>
  <w:abstractNum w:abstractNumId="2" w15:restartNumberingAfterBreak="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8246F3"/>
    <w:multiLevelType w:val="singleLevel"/>
    <w:tmpl w:val="B1F45678"/>
    <w:lvl w:ilvl="0">
      <w:start w:val="1"/>
      <w:numFmt w:val="decimal"/>
      <w:lvlText w:val="%1."/>
      <w:lvlJc w:val="left"/>
      <w:pPr>
        <w:tabs>
          <w:tab w:val="num" w:pos="1080"/>
        </w:tabs>
        <w:ind w:left="0" w:firstLine="720"/>
      </w:pPr>
    </w:lvl>
  </w:abstractNum>
  <w:abstractNum w:abstractNumId="4" w15:restartNumberingAfterBreak="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15:restartNumberingAfterBreak="0">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762A53"/>
    <w:multiLevelType w:val="hybridMultilevel"/>
    <w:tmpl w:val="F21A8298"/>
    <w:lvl w:ilvl="0" w:tplc="E7A8CB9C">
      <w:numFmt w:val="bullet"/>
      <w:lvlText w:val="-"/>
      <w:lvlJc w:val="left"/>
      <w:pPr>
        <w:ind w:left="1080" w:hanging="360"/>
      </w:pPr>
      <w:rPr>
        <w:rFonts w:ascii="Century Gothic" w:eastAsia="Times New Roman" w:hAnsi="Century Gothic"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15:restartNumberingAfterBreak="0">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2"/>
  </w:num>
  <w:num w:numId="2">
    <w:abstractNumId w:val="8"/>
  </w:num>
  <w:num w:numId="3">
    <w:abstractNumId w:val="4"/>
  </w:num>
  <w:num w:numId="4">
    <w:abstractNumId w:val="7"/>
  </w:num>
  <w:num w:numId="5">
    <w:abstractNumId w:val="3"/>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num>
  <w:num w:numId="11">
    <w:abstractNumId w:val="5"/>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num>
  <w:num w:numId="16">
    <w:abstractNumId w:val="8"/>
  </w:num>
  <w:num w:numId="17">
    <w:abstractNumId w:val="6"/>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e3NLUwt7A0NDA3MzVX0lEKTi0uzszPAykwNKgFAJxQ178tAAAA"/>
  </w:docVars>
  <w:rsids>
    <w:rsidRoot w:val="008E514F"/>
    <w:rsid w:val="0001521F"/>
    <w:rsid w:val="00036039"/>
    <w:rsid w:val="00037F90"/>
    <w:rsid w:val="00044F0F"/>
    <w:rsid w:val="000519E4"/>
    <w:rsid w:val="000649E3"/>
    <w:rsid w:val="00070B17"/>
    <w:rsid w:val="00085073"/>
    <w:rsid w:val="00086A08"/>
    <w:rsid w:val="000875BF"/>
    <w:rsid w:val="00091BB8"/>
    <w:rsid w:val="00096D8C"/>
    <w:rsid w:val="000A5915"/>
    <w:rsid w:val="000B5366"/>
    <w:rsid w:val="000C0B65"/>
    <w:rsid w:val="000C6EE7"/>
    <w:rsid w:val="000D5700"/>
    <w:rsid w:val="000E05FE"/>
    <w:rsid w:val="000E3D42"/>
    <w:rsid w:val="00105B53"/>
    <w:rsid w:val="00117188"/>
    <w:rsid w:val="00120862"/>
    <w:rsid w:val="00122BD5"/>
    <w:rsid w:val="00124152"/>
    <w:rsid w:val="00133F79"/>
    <w:rsid w:val="0015286E"/>
    <w:rsid w:val="00154740"/>
    <w:rsid w:val="0015526A"/>
    <w:rsid w:val="00161C6E"/>
    <w:rsid w:val="0018117A"/>
    <w:rsid w:val="00194A66"/>
    <w:rsid w:val="001A1239"/>
    <w:rsid w:val="001A1547"/>
    <w:rsid w:val="001A31C9"/>
    <w:rsid w:val="001B4FC6"/>
    <w:rsid w:val="001C2C00"/>
    <w:rsid w:val="001C3722"/>
    <w:rsid w:val="001D6BCF"/>
    <w:rsid w:val="001E01CA"/>
    <w:rsid w:val="001F2E2C"/>
    <w:rsid w:val="001F67F3"/>
    <w:rsid w:val="00215393"/>
    <w:rsid w:val="00230CAE"/>
    <w:rsid w:val="00243490"/>
    <w:rsid w:val="00247971"/>
    <w:rsid w:val="002506AF"/>
    <w:rsid w:val="00267A6D"/>
    <w:rsid w:val="00267F76"/>
    <w:rsid w:val="00275CF5"/>
    <w:rsid w:val="00281D8C"/>
    <w:rsid w:val="0028301F"/>
    <w:rsid w:val="00285017"/>
    <w:rsid w:val="00285CD9"/>
    <w:rsid w:val="00292B65"/>
    <w:rsid w:val="00295BD2"/>
    <w:rsid w:val="00296831"/>
    <w:rsid w:val="002A2D2E"/>
    <w:rsid w:val="002B274F"/>
    <w:rsid w:val="002B4B71"/>
    <w:rsid w:val="002C00E8"/>
    <w:rsid w:val="002C4A15"/>
    <w:rsid w:val="002D74FE"/>
    <w:rsid w:val="002E467E"/>
    <w:rsid w:val="002E4A52"/>
    <w:rsid w:val="002F10A9"/>
    <w:rsid w:val="00311768"/>
    <w:rsid w:val="0032583A"/>
    <w:rsid w:val="00327391"/>
    <w:rsid w:val="00333A19"/>
    <w:rsid w:val="00334F78"/>
    <w:rsid w:val="00335F9F"/>
    <w:rsid w:val="00336FA2"/>
    <w:rsid w:val="00343749"/>
    <w:rsid w:val="0035569F"/>
    <w:rsid w:val="003660ED"/>
    <w:rsid w:val="003716FE"/>
    <w:rsid w:val="00380133"/>
    <w:rsid w:val="0038775B"/>
    <w:rsid w:val="003A15D9"/>
    <w:rsid w:val="003B003D"/>
    <w:rsid w:val="003B0550"/>
    <w:rsid w:val="003B694F"/>
    <w:rsid w:val="003F171C"/>
    <w:rsid w:val="00404BBC"/>
    <w:rsid w:val="00405C4A"/>
    <w:rsid w:val="00412FC5"/>
    <w:rsid w:val="00414825"/>
    <w:rsid w:val="00416800"/>
    <w:rsid w:val="004203FD"/>
    <w:rsid w:val="00421DDB"/>
    <w:rsid w:val="00422276"/>
    <w:rsid w:val="00424038"/>
    <w:rsid w:val="004242F1"/>
    <w:rsid w:val="00440A2C"/>
    <w:rsid w:val="00445574"/>
    <w:rsid w:val="00445A00"/>
    <w:rsid w:val="00451B0F"/>
    <w:rsid w:val="00464279"/>
    <w:rsid w:val="00464E2E"/>
    <w:rsid w:val="00466E98"/>
    <w:rsid w:val="004678DD"/>
    <w:rsid w:val="00486CDF"/>
    <w:rsid w:val="0049248A"/>
    <w:rsid w:val="004A7B54"/>
    <w:rsid w:val="004B1349"/>
    <w:rsid w:val="004B2114"/>
    <w:rsid w:val="004C2EE3"/>
    <w:rsid w:val="004E2666"/>
    <w:rsid w:val="004E4A22"/>
    <w:rsid w:val="004E603E"/>
    <w:rsid w:val="004F594A"/>
    <w:rsid w:val="0050681C"/>
    <w:rsid w:val="00511968"/>
    <w:rsid w:val="005359A4"/>
    <w:rsid w:val="00546CE7"/>
    <w:rsid w:val="0055614C"/>
    <w:rsid w:val="00563A06"/>
    <w:rsid w:val="005659ED"/>
    <w:rsid w:val="00582192"/>
    <w:rsid w:val="005B7C23"/>
    <w:rsid w:val="005C5768"/>
    <w:rsid w:val="005E0E39"/>
    <w:rsid w:val="005E1065"/>
    <w:rsid w:val="005E14C2"/>
    <w:rsid w:val="005E1B86"/>
    <w:rsid w:val="005E54F0"/>
    <w:rsid w:val="005F2C82"/>
    <w:rsid w:val="005F2E7D"/>
    <w:rsid w:val="005F39A2"/>
    <w:rsid w:val="00607BA5"/>
    <w:rsid w:val="0061180A"/>
    <w:rsid w:val="00613D50"/>
    <w:rsid w:val="00626EB6"/>
    <w:rsid w:val="00626F23"/>
    <w:rsid w:val="00631FAC"/>
    <w:rsid w:val="00637B06"/>
    <w:rsid w:val="00655D03"/>
    <w:rsid w:val="0067535C"/>
    <w:rsid w:val="00683388"/>
    <w:rsid w:val="00683F84"/>
    <w:rsid w:val="006917A8"/>
    <w:rsid w:val="006920D1"/>
    <w:rsid w:val="006A6A81"/>
    <w:rsid w:val="006C65D6"/>
    <w:rsid w:val="006F7393"/>
    <w:rsid w:val="0070224F"/>
    <w:rsid w:val="007115F7"/>
    <w:rsid w:val="007215FE"/>
    <w:rsid w:val="00721DE5"/>
    <w:rsid w:val="007345DF"/>
    <w:rsid w:val="007442EC"/>
    <w:rsid w:val="00745FC4"/>
    <w:rsid w:val="00757907"/>
    <w:rsid w:val="007806B1"/>
    <w:rsid w:val="00785689"/>
    <w:rsid w:val="0079754B"/>
    <w:rsid w:val="007A1E6D"/>
    <w:rsid w:val="007A3291"/>
    <w:rsid w:val="007A57B1"/>
    <w:rsid w:val="007A6860"/>
    <w:rsid w:val="007B0EB2"/>
    <w:rsid w:val="007B5D54"/>
    <w:rsid w:val="007C3D06"/>
    <w:rsid w:val="007C6A96"/>
    <w:rsid w:val="007E0C0C"/>
    <w:rsid w:val="00810B6F"/>
    <w:rsid w:val="00822CE0"/>
    <w:rsid w:val="008300DA"/>
    <w:rsid w:val="0083379C"/>
    <w:rsid w:val="00841AB1"/>
    <w:rsid w:val="008449DD"/>
    <w:rsid w:val="00846786"/>
    <w:rsid w:val="00852852"/>
    <w:rsid w:val="008628E4"/>
    <w:rsid w:val="00866359"/>
    <w:rsid w:val="0087362B"/>
    <w:rsid w:val="0087633C"/>
    <w:rsid w:val="00883680"/>
    <w:rsid w:val="00891541"/>
    <w:rsid w:val="00895A9E"/>
    <w:rsid w:val="008A04EA"/>
    <w:rsid w:val="008A49AE"/>
    <w:rsid w:val="008A7150"/>
    <w:rsid w:val="008C68F1"/>
    <w:rsid w:val="008E514F"/>
    <w:rsid w:val="008E6476"/>
    <w:rsid w:val="00902559"/>
    <w:rsid w:val="00903A5F"/>
    <w:rsid w:val="009129A3"/>
    <w:rsid w:val="00912F20"/>
    <w:rsid w:val="00913370"/>
    <w:rsid w:val="00921803"/>
    <w:rsid w:val="00922563"/>
    <w:rsid w:val="00926503"/>
    <w:rsid w:val="009311FA"/>
    <w:rsid w:val="009352C4"/>
    <w:rsid w:val="0095671C"/>
    <w:rsid w:val="009578C6"/>
    <w:rsid w:val="0096206C"/>
    <w:rsid w:val="00963DFB"/>
    <w:rsid w:val="0096483F"/>
    <w:rsid w:val="0096536B"/>
    <w:rsid w:val="00965A00"/>
    <w:rsid w:val="009726D8"/>
    <w:rsid w:val="00986D85"/>
    <w:rsid w:val="00991CC2"/>
    <w:rsid w:val="009A749A"/>
    <w:rsid w:val="009C5B49"/>
    <w:rsid w:val="009D03D8"/>
    <w:rsid w:val="009F1B4D"/>
    <w:rsid w:val="009F76DB"/>
    <w:rsid w:val="00A00E54"/>
    <w:rsid w:val="00A05543"/>
    <w:rsid w:val="00A13038"/>
    <w:rsid w:val="00A16020"/>
    <w:rsid w:val="00A2022A"/>
    <w:rsid w:val="00A219DA"/>
    <w:rsid w:val="00A24E62"/>
    <w:rsid w:val="00A26670"/>
    <w:rsid w:val="00A3023C"/>
    <w:rsid w:val="00A32C3B"/>
    <w:rsid w:val="00A362A5"/>
    <w:rsid w:val="00A368CC"/>
    <w:rsid w:val="00A37424"/>
    <w:rsid w:val="00A45F4F"/>
    <w:rsid w:val="00A5394A"/>
    <w:rsid w:val="00A600A9"/>
    <w:rsid w:val="00A64E75"/>
    <w:rsid w:val="00A739A9"/>
    <w:rsid w:val="00A92FC8"/>
    <w:rsid w:val="00AA15EA"/>
    <w:rsid w:val="00AA5161"/>
    <w:rsid w:val="00AA55B7"/>
    <w:rsid w:val="00AA5B9E"/>
    <w:rsid w:val="00AB2407"/>
    <w:rsid w:val="00AB310C"/>
    <w:rsid w:val="00AB53DF"/>
    <w:rsid w:val="00AC0770"/>
    <w:rsid w:val="00AE6DB9"/>
    <w:rsid w:val="00AF431A"/>
    <w:rsid w:val="00B01D21"/>
    <w:rsid w:val="00B07E5C"/>
    <w:rsid w:val="00B11297"/>
    <w:rsid w:val="00B13FAF"/>
    <w:rsid w:val="00B66683"/>
    <w:rsid w:val="00B811F7"/>
    <w:rsid w:val="00B92158"/>
    <w:rsid w:val="00B93570"/>
    <w:rsid w:val="00BA18E0"/>
    <w:rsid w:val="00BA4005"/>
    <w:rsid w:val="00BA5DC6"/>
    <w:rsid w:val="00BA6196"/>
    <w:rsid w:val="00BA7914"/>
    <w:rsid w:val="00BB0BF7"/>
    <w:rsid w:val="00BB7FB2"/>
    <w:rsid w:val="00BC0297"/>
    <w:rsid w:val="00BC39E6"/>
    <w:rsid w:val="00BC6D8C"/>
    <w:rsid w:val="00BC6E3D"/>
    <w:rsid w:val="00BD3FE0"/>
    <w:rsid w:val="00BD7802"/>
    <w:rsid w:val="00BE0A3C"/>
    <w:rsid w:val="00BF451F"/>
    <w:rsid w:val="00BF4D1E"/>
    <w:rsid w:val="00C13D84"/>
    <w:rsid w:val="00C210E2"/>
    <w:rsid w:val="00C317C8"/>
    <w:rsid w:val="00C34006"/>
    <w:rsid w:val="00C342C7"/>
    <w:rsid w:val="00C42363"/>
    <w:rsid w:val="00C426B1"/>
    <w:rsid w:val="00C437FC"/>
    <w:rsid w:val="00C44E28"/>
    <w:rsid w:val="00C51A55"/>
    <w:rsid w:val="00C51E0A"/>
    <w:rsid w:val="00C61501"/>
    <w:rsid w:val="00C624FE"/>
    <w:rsid w:val="00C66160"/>
    <w:rsid w:val="00C721AC"/>
    <w:rsid w:val="00C822C2"/>
    <w:rsid w:val="00C85EC2"/>
    <w:rsid w:val="00C8628D"/>
    <w:rsid w:val="00C90D6A"/>
    <w:rsid w:val="00C93E1A"/>
    <w:rsid w:val="00C943D8"/>
    <w:rsid w:val="00C9749E"/>
    <w:rsid w:val="00C978E8"/>
    <w:rsid w:val="00CA247E"/>
    <w:rsid w:val="00CA5E18"/>
    <w:rsid w:val="00CA715E"/>
    <w:rsid w:val="00CC5667"/>
    <w:rsid w:val="00CC6387"/>
    <w:rsid w:val="00CC72B6"/>
    <w:rsid w:val="00CD4B2B"/>
    <w:rsid w:val="00CE0760"/>
    <w:rsid w:val="00CF72A2"/>
    <w:rsid w:val="00D0218D"/>
    <w:rsid w:val="00D07DF4"/>
    <w:rsid w:val="00D11214"/>
    <w:rsid w:val="00D128F2"/>
    <w:rsid w:val="00D13B8D"/>
    <w:rsid w:val="00D25FB5"/>
    <w:rsid w:val="00D3007B"/>
    <w:rsid w:val="00D30D88"/>
    <w:rsid w:val="00D44223"/>
    <w:rsid w:val="00D66802"/>
    <w:rsid w:val="00D806BA"/>
    <w:rsid w:val="00D9481E"/>
    <w:rsid w:val="00D96F8E"/>
    <w:rsid w:val="00DA2529"/>
    <w:rsid w:val="00DB130A"/>
    <w:rsid w:val="00DB2EBB"/>
    <w:rsid w:val="00DB6948"/>
    <w:rsid w:val="00DC10A1"/>
    <w:rsid w:val="00DC3D29"/>
    <w:rsid w:val="00DC655F"/>
    <w:rsid w:val="00DD0B59"/>
    <w:rsid w:val="00DD7EBD"/>
    <w:rsid w:val="00DE085A"/>
    <w:rsid w:val="00DE0BA8"/>
    <w:rsid w:val="00DE11D8"/>
    <w:rsid w:val="00DE42A3"/>
    <w:rsid w:val="00DE5570"/>
    <w:rsid w:val="00DF62B6"/>
    <w:rsid w:val="00DF7D07"/>
    <w:rsid w:val="00E0429A"/>
    <w:rsid w:val="00E07225"/>
    <w:rsid w:val="00E10D90"/>
    <w:rsid w:val="00E2718A"/>
    <w:rsid w:val="00E35EB0"/>
    <w:rsid w:val="00E43DD1"/>
    <w:rsid w:val="00E532ED"/>
    <w:rsid w:val="00E5409F"/>
    <w:rsid w:val="00E6293D"/>
    <w:rsid w:val="00E7023A"/>
    <w:rsid w:val="00E73920"/>
    <w:rsid w:val="00E82786"/>
    <w:rsid w:val="00EA0BAD"/>
    <w:rsid w:val="00ED3D77"/>
    <w:rsid w:val="00ED6B0A"/>
    <w:rsid w:val="00ED6DE9"/>
    <w:rsid w:val="00EE2C7D"/>
    <w:rsid w:val="00EE34F2"/>
    <w:rsid w:val="00EE6488"/>
    <w:rsid w:val="00F015BD"/>
    <w:rsid w:val="00F021FA"/>
    <w:rsid w:val="00F12D7D"/>
    <w:rsid w:val="00F34AC5"/>
    <w:rsid w:val="00F46B7A"/>
    <w:rsid w:val="00F516AD"/>
    <w:rsid w:val="00F53CE1"/>
    <w:rsid w:val="00F61FA3"/>
    <w:rsid w:val="00F62E97"/>
    <w:rsid w:val="00F64209"/>
    <w:rsid w:val="00F6523C"/>
    <w:rsid w:val="00F66E18"/>
    <w:rsid w:val="00F7101C"/>
    <w:rsid w:val="00F74108"/>
    <w:rsid w:val="00F92680"/>
    <w:rsid w:val="00F93BF5"/>
    <w:rsid w:val="00FB226F"/>
    <w:rsid w:val="00FD312D"/>
    <w:rsid w:val="00FD6D4A"/>
    <w:rsid w:val="00FE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1D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0D1"/>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6920D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eading 2 Char Char1"/>
    <w:basedOn w:val="Normal"/>
    <w:next w:val="ParaNum"/>
    <w:link w:val="Heading2Char"/>
    <w:autoRedefine/>
    <w:qFormat/>
    <w:rsid w:val="00563A06"/>
    <w:pPr>
      <w:keepNext/>
      <w:ind w:left="720" w:hanging="7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h,3 Char,1 Char"/>
    <w:basedOn w:val="Normal"/>
    <w:next w:val="ParaNum"/>
    <w:link w:val="Heading3Char"/>
    <w:qFormat/>
    <w:rsid w:val="006920D1"/>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6920D1"/>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
    <w:basedOn w:val="Normal"/>
    <w:next w:val="ParaNum"/>
    <w:qFormat/>
    <w:rsid w:val="006920D1"/>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6920D1"/>
    <w:pPr>
      <w:numPr>
        <w:ilvl w:val="5"/>
        <w:numId w:val="3"/>
      </w:numPr>
      <w:tabs>
        <w:tab w:val="left" w:pos="4320"/>
      </w:tabs>
      <w:spacing w:after="120"/>
      <w:outlineLvl w:val="5"/>
    </w:pPr>
    <w:rPr>
      <w:b/>
    </w:rPr>
  </w:style>
  <w:style w:type="paragraph" w:styleId="Heading7">
    <w:name w:val="heading 7"/>
    <w:basedOn w:val="Normal"/>
    <w:next w:val="ParaNum"/>
    <w:qFormat/>
    <w:rsid w:val="006920D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920D1"/>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6920D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6920D1"/>
    <w:pPr>
      <w:numPr>
        <w:numId w:val="2"/>
      </w:numPr>
      <w:spacing w:after="120"/>
    </w:pPr>
  </w:style>
  <w:style w:type="paragraph" w:styleId="EndnoteText">
    <w:name w:val="endnote text"/>
    <w:basedOn w:val="Normal"/>
    <w:semiHidden/>
    <w:rsid w:val="006920D1"/>
    <w:rPr>
      <w:sz w:val="20"/>
    </w:rPr>
  </w:style>
  <w:style w:type="character" w:styleId="EndnoteReference">
    <w:name w:val="endnote reference"/>
    <w:semiHidden/>
    <w:rsid w:val="006920D1"/>
    <w:rPr>
      <w:vertAlign w:val="superscript"/>
    </w:rPr>
  </w:style>
  <w:style w:type="paragraph" w:styleId="FootnoteText">
    <w:name w:val="footnote text"/>
    <w:aliases w:val="Footnote Text Char Char,Footnote Text Char5 Char Char,Footnote Text Char Char Char Char,Footnote Text Char4 Char Char1 Char Char,Footnote Text Char2 Char Char2 Char2 Char Char,Footnote Text Char5 Cha,Footnote Text Char2"/>
    <w:link w:val="FootnoteTextChar"/>
    <w:uiPriority w:val="99"/>
    <w:rsid w:val="006920D1"/>
    <w:pPr>
      <w:spacing w:after="120"/>
    </w:pPr>
  </w:style>
  <w:style w:type="character" w:styleId="FootnoteReference">
    <w:name w:val="footnote reference"/>
    <w:aliases w:val="Appel note de bas de p,Style 12,(NECG) Footnote Reference,Style 124,o,fr,Style 3,Style 17,FR,Style 13,Style 6,Footnote Reference/,Style 7,Style 4,Footnote Reference1,Style 34,Style 9,Style 20,callout,-E Funotenzeichen"/>
    <w:uiPriority w:val="99"/>
    <w:rsid w:val="006920D1"/>
    <w:rPr>
      <w:rFonts w:ascii="Times New Roman" w:hAnsi="Times New Roman"/>
      <w:dstrike w:val="0"/>
      <w:color w:val="auto"/>
      <w:sz w:val="20"/>
      <w:vertAlign w:val="superscript"/>
    </w:rPr>
  </w:style>
  <w:style w:type="paragraph" w:styleId="TOC1">
    <w:name w:val="toc 1"/>
    <w:basedOn w:val="Normal"/>
    <w:next w:val="Normal"/>
    <w:rsid w:val="006920D1"/>
    <w:pPr>
      <w:tabs>
        <w:tab w:val="left" w:pos="360"/>
        <w:tab w:val="right" w:leader="dot" w:pos="9360"/>
      </w:tabs>
      <w:suppressAutoHyphens/>
      <w:ind w:left="360" w:right="720" w:hanging="360"/>
    </w:pPr>
    <w:rPr>
      <w:caps/>
      <w:noProof/>
    </w:rPr>
  </w:style>
  <w:style w:type="paragraph" w:styleId="TOC2">
    <w:name w:val="toc 2"/>
    <w:basedOn w:val="Normal"/>
    <w:next w:val="Normal"/>
    <w:rsid w:val="006920D1"/>
    <w:pPr>
      <w:tabs>
        <w:tab w:val="left" w:pos="720"/>
        <w:tab w:val="right" w:leader="dot" w:pos="9360"/>
      </w:tabs>
      <w:suppressAutoHyphens/>
      <w:ind w:left="720" w:right="720" w:hanging="360"/>
    </w:pPr>
    <w:rPr>
      <w:noProof/>
    </w:rPr>
  </w:style>
  <w:style w:type="paragraph" w:styleId="TOC3">
    <w:name w:val="toc 3"/>
    <w:basedOn w:val="Normal"/>
    <w:next w:val="Normal"/>
    <w:rsid w:val="006920D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920D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920D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920D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920D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920D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920D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920D1"/>
    <w:pPr>
      <w:tabs>
        <w:tab w:val="right" w:pos="9360"/>
      </w:tabs>
      <w:suppressAutoHyphens/>
    </w:pPr>
  </w:style>
  <w:style w:type="character" w:customStyle="1" w:styleId="EquationCaption">
    <w:name w:val="_Equation Caption"/>
    <w:rsid w:val="006920D1"/>
  </w:style>
  <w:style w:type="paragraph" w:styleId="Header">
    <w:name w:val="header"/>
    <w:basedOn w:val="Normal"/>
    <w:autoRedefine/>
    <w:rsid w:val="006920D1"/>
    <w:pPr>
      <w:tabs>
        <w:tab w:val="center" w:pos="4680"/>
        <w:tab w:val="right" w:pos="9360"/>
      </w:tabs>
    </w:pPr>
    <w:rPr>
      <w:b/>
    </w:rPr>
  </w:style>
  <w:style w:type="paragraph" w:styleId="Footer">
    <w:name w:val="footer"/>
    <w:basedOn w:val="Normal"/>
    <w:link w:val="FooterChar"/>
    <w:uiPriority w:val="99"/>
    <w:rsid w:val="006920D1"/>
    <w:pPr>
      <w:tabs>
        <w:tab w:val="center" w:pos="4320"/>
        <w:tab w:val="right" w:pos="8640"/>
      </w:tabs>
    </w:pPr>
  </w:style>
  <w:style w:type="character" w:styleId="PageNumber">
    <w:name w:val="page number"/>
    <w:basedOn w:val="DefaultParagraphFont"/>
    <w:rsid w:val="006920D1"/>
  </w:style>
  <w:style w:type="paragraph" w:styleId="BlockText">
    <w:name w:val="Block Text"/>
    <w:basedOn w:val="Normal"/>
    <w:rsid w:val="006920D1"/>
    <w:pPr>
      <w:spacing w:after="240"/>
      <w:ind w:left="1440" w:right="1440"/>
    </w:pPr>
  </w:style>
  <w:style w:type="paragraph" w:customStyle="1" w:styleId="Paratitle">
    <w:name w:val="Para title"/>
    <w:basedOn w:val="Normal"/>
    <w:rsid w:val="006920D1"/>
    <w:pPr>
      <w:tabs>
        <w:tab w:val="center" w:pos="9270"/>
      </w:tabs>
      <w:spacing w:after="240"/>
    </w:pPr>
    <w:rPr>
      <w:spacing w:val="-2"/>
    </w:rPr>
  </w:style>
  <w:style w:type="paragraph" w:customStyle="1" w:styleId="Bullet">
    <w:name w:val="Bullet"/>
    <w:basedOn w:val="Normal"/>
    <w:rsid w:val="006920D1"/>
    <w:pPr>
      <w:tabs>
        <w:tab w:val="left" w:pos="2160"/>
      </w:tabs>
      <w:spacing w:after="220"/>
      <w:ind w:left="2160" w:hanging="720"/>
    </w:pPr>
  </w:style>
  <w:style w:type="paragraph" w:customStyle="1" w:styleId="TableFormat">
    <w:name w:val="TableFormat"/>
    <w:basedOn w:val="Bullet"/>
    <w:rsid w:val="006920D1"/>
    <w:pPr>
      <w:tabs>
        <w:tab w:val="clear" w:pos="2160"/>
        <w:tab w:val="left" w:pos="5040"/>
      </w:tabs>
      <w:ind w:left="5040" w:hanging="3600"/>
    </w:pPr>
  </w:style>
  <w:style w:type="paragraph" w:customStyle="1" w:styleId="TOCTitle">
    <w:name w:val="TOC Title"/>
    <w:basedOn w:val="Normal"/>
    <w:rsid w:val="006920D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920D1"/>
    <w:pPr>
      <w:jc w:val="center"/>
    </w:pPr>
    <w:rPr>
      <w:rFonts w:ascii="Times New Roman Bold" w:hAnsi="Times New Roman Bold"/>
      <w:b/>
      <w:bCs/>
      <w:caps/>
      <w:szCs w:val="22"/>
    </w:rPr>
  </w:style>
  <w:style w:type="character" w:styleId="Hyperlink">
    <w:name w:val="Hyperlink"/>
    <w:rsid w:val="006920D1"/>
    <w:rPr>
      <w:color w:val="0000FF"/>
      <w:u w:val="single"/>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8E514F"/>
    <w:rPr>
      <w:rFonts w:ascii="Times New Roman Bold" w:hAnsi="Times New Roman Bold"/>
      <w:b/>
      <w:caps/>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563A06"/>
    <w:rPr>
      <w:b/>
      <w:snapToGrid w:val="0"/>
      <w:kern w:val="28"/>
      <w:sz w:val="22"/>
    </w:rPr>
  </w:style>
  <w:style w:type="character" w:customStyle="1" w:styleId="Heading3Char">
    <w:name w:val="Heading 3 Char"/>
    <w:aliases w:val="Heading 3 Char1 Char Char1,Heading 3 Char Char Char Char1,Heading 3 Char1 Char1,Heading 3 Char Char Char1,Heading 3 Char1 Char Char Char,Heading 3 Char Char Char Char Char1,Heading 3 Char2 Char1 Char Char Char,Heading 3 Char Char1 Ch Char"/>
    <w:link w:val="Heading3"/>
    <w:rsid w:val="008E514F"/>
    <w:rPr>
      <w:b/>
      <w:snapToGrid w:val="0"/>
      <w:kern w:val="28"/>
      <w:sz w:val="22"/>
    </w:rPr>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link w:val="Heading4"/>
    <w:rsid w:val="008E514F"/>
    <w:rPr>
      <w:b/>
      <w:snapToGrid w:val="0"/>
      <w:kern w:val="28"/>
      <w:sz w:val="22"/>
    </w:rPr>
  </w:style>
  <w:style w:type="paragraph" w:styleId="NormalWeb">
    <w:name w:val="Normal (Web)"/>
    <w:basedOn w:val="Normal"/>
    <w:uiPriority w:val="99"/>
    <w:unhideWhenUsed/>
    <w:rsid w:val="008E514F"/>
    <w:rPr>
      <w:sz w:val="24"/>
      <w:szCs w:val="24"/>
    </w:rPr>
  </w:style>
  <w:style w:type="character" w:customStyle="1" w:styleId="FootnoteTextChar">
    <w:name w:val="Footnote Text Char"/>
    <w:aliases w:val="Footnote Text Char Char Char,Footnote Text Char5 Char Char Char,Footnote Text Char Char Char Char Char,Footnote Text Char4 Char Char1 Char Char Char,Footnote Text Char2 Char Char2 Char2 Char Char Char,Footnote Text Char5 Cha Char"/>
    <w:link w:val="FootnoteText"/>
    <w:uiPriority w:val="99"/>
    <w:locked/>
    <w:rsid w:val="008E514F"/>
  </w:style>
  <w:style w:type="character" w:customStyle="1" w:styleId="ParaNumChar">
    <w:name w:val="ParaNum Char"/>
    <w:link w:val="ParaNum"/>
    <w:locked/>
    <w:rsid w:val="008E514F"/>
    <w:rPr>
      <w:snapToGrid w:val="0"/>
      <w:kern w:val="28"/>
      <w:sz w:val="22"/>
    </w:rPr>
  </w:style>
  <w:style w:type="character" w:customStyle="1" w:styleId="cosearchterm">
    <w:name w:val="co_searchterm"/>
    <w:rsid w:val="008E514F"/>
  </w:style>
  <w:style w:type="character" w:styleId="Emphasis">
    <w:name w:val="Emphasis"/>
    <w:uiPriority w:val="20"/>
    <w:qFormat/>
    <w:rsid w:val="008E514F"/>
    <w:rPr>
      <w:i/>
      <w:iCs/>
    </w:rPr>
  </w:style>
  <w:style w:type="paragraph" w:styleId="Caption">
    <w:name w:val="caption"/>
    <w:basedOn w:val="Normal"/>
    <w:next w:val="Normal"/>
    <w:unhideWhenUsed/>
    <w:qFormat/>
    <w:rsid w:val="00DE42A3"/>
    <w:pPr>
      <w:spacing w:after="200"/>
    </w:pPr>
    <w:rPr>
      <w:i/>
      <w:iCs/>
      <w:color w:val="44546A" w:themeColor="text2"/>
      <w:sz w:val="18"/>
      <w:szCs w:val="18"/>
    </w:rPr>
  </w:style>
  <w:style w:type="character" w:styleId="FollowedHyperlink">
    <w:name w:val="FollowedHyperlink"/>
    <w:basedOn w:val="DefaultParagraphFont"/>
    <w:semiHidden/>
    <w:unhideWhenUsed/>
    <w:rsid w:val="001A31C9"/>
    <w:rPr>
      <w:color w:val="954F72" w:themeColor="followedHyperlink"/>
      <w:u w:val="single"/>
    </w:rPr>
  </w:style>
  <w:style w:type="paragraph" w:styleId="CommentText">
    <w:name w:val="annotation text"/>
    <w:basedOn w:val="Normal"/>
    <w:link w:val="CommentTextChar"/>
    <w:semiHidden/>
    <w:unhideWhenUsed/>
    <w:rsid w:val="00866359"/>
    <w:rPr>
      <w:sz w:val="20"/>
    </w:rPr>
  </w:style>
  <w:style w:type="character" w:customStyle="1" w:styleId="CommentTextChar">
    <w:name w:val="Comment Text Char"/>
    <w:basedOn w:val="DefaultParagraphFont"/>
    <w:link w:val="CommentText"/>
    <w:semiHidden/>
    <w:rsid w:val="00866359"/>
    <w:rPr>
      <w:snapToGrid w:val="0"/>
      <w:kern w:val="28"/>
    </w:rPr>
  </w:style>
  <w:style w:type="character" w:styleId="CommentReference">
    <w:name w:val="annotation reference"/>
    <w:basedOn w:val="DefaultParagraphFont"/>
    <w:uiPriority w:val="99"/>
    <w:semiHidden/>
    <w:unhideWhenUsed/>
    <w:rsid w:val="00336FA2"/>
    <w:rPr>
      <w:sz w:val="16"/>
      <w:szCs w:val="16"/>
    </w:rPr>
  </w:style>
  <w:style w:type="paragraph" w:styleId="BalloonText">
    <w:name w:val="Balloon Text"/>
    <w:basedOn w:val="Normal"/>
    <w:link w:val="BalloonTextChar"/>
    <w:semiHidden/>
    <w:unhideWhenUsed/>
    <w:rsid w:val="00336FA2"/>
    <w:rPr>
      <w:rFonts w:ascii="Segoe UI" w:hAnsi="Segoe UI" w:cs="Segoe UI"/>
      <w:sz w:val="18"/>
      <w:szCs w:val="18"/>
    </w:rPr>
  </w:style>
  <w:style w:type="character" w:customStyle="1" w:styleId="BalloonTextChar">
    <w:name w:val="Balloon Text Char"/>
    <w:basedOn w:val="DefaultParagraphFont"/>
    <w:link w:val="BalloonText"/>
    <w:semiHidden/>
    <w:rsid w:val="00336FA2"/>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380133"/>
    <w:rPr>
      <w:snapToGrid w:val="0"/>
      <w:kern w:val="28"/>
      <w:sz w:val="22"/>
    </w:rPr>
  </w:style>
  <w:style w:type="paragraph" w:styleId="CommentSubject">
    <w:name w:val="annotation subject"/>
    <w:basedOn w:val="CommentText"/>
    <w:next w:val="CommentText"/>
    <w:link w:val="CommentSubjectChar"/>
    <w:semiHidden/>
    <w:unhideWhenUsed/>
    <w:rsid w:val="00F92680"/>
    <w:rPr>
      <w:b/>
      <w:bCs/>
    </w:rPr>
  </w:style>
  <w:style w:type="character" w:customStyle="1" w:styleId="CommentSubjectChar">
    <w:name w:val="Comment Subject Char"/>
    <w:basedOn w:val="CommentTextChar"/>
    <w:link w:val="CommentSubject"/>
    <w:semiHidden/>
    <w:rsid w:val="00F92680"/>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74384">
      <w:bodyDiv w:val="1"/>
      <w:marLeft w:val="0"/>
      <w:marRight w:val="0"/>
      <w:marTop w:val="0"/>
      <w:marBottom w:val="0"/>
      <w:divBdr>
        <w:top w:val="none" w:sz="0" w:space="0" w:color="auto"/>
        <w:left w:val="none" w:sz="0" w:space="0" w:color="auto"/>
        <w:bottom w:val="none" w:sz="0" w:space="0" w:color="auto"/>
        <w:right w:val="none" w:sz="0" w:space="0" w:color="auto"/>
      </w:divBdr>
    </w:div>
    <w:div w:id="798107388">
      <w:bodyDiv w:val="1"/>
      <w:marLeft w:val="0"/>
      <w:marRight w:val="0"/>
      <w:marTop w:val="0"/>
      <w:marBottom w:val="0"/>
      <w:divBdr>
        <w:top w:val="none" w:sz="0" w:space="0" w:color="auto"/>
        <w:left w:val="none" w:sz="0" w:space="0" w:color="auto"/>
        <w:bottom w:val="none" w:sz="0" w:space="0" w:color="auto"/>
        <w:right w:val="none" w:sz="0" w:space="0" w:color="auto"/>
      </w:divBdr>
      <w:divsChild>
        <w:div w:id="242223579">
          <w:marLeft w:val="0"/>
          <w:marRight w:val="0"/>
          <w:marTop w:val="0"/>
          <w:marBottom w:val="0"/>
          <w:divBdr>
            <w:top w:val="none" w:sz="0" w:space="0" w:color="auto"/>
            <w:left w:val="none" w:sz="0" w:space="0" w:color="auto"/>
            <w:bottom w:val="none" w:sz="0" w:space="0" w:color="auto"/>
            <w:right w:val="none" w:sz="0" w:space="0" w:color="auto"/>
          </w:divBdr>
          <w:divsChild>
            <w:div w:id="11774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3508">
      <w:bodyDiv w:val="1"/>
      <w:marLeft w:val="0"/>
      <w:marRight w:val="0"/>
      <w:marTop w:val="0"/>
      <w:marBottom w:val="0"/>
      <w:divBdr>
        <w:top w:val="none" w:sz="0" w:space="0" w:color="auto"/>
        <w:left w:val="none" w:sz="0" w:space="0" w:color="auto"/>
        <w:bottom w:val="none" w:sz="0" w:space="0" w:color="auto"/>
        <w:right w:val="none" w:sz="0" w:space="0" w:color="auto"/>
      </w:divBdr>
      <w:divsChild>
        <w:div w:id="1214731528">
          <w:marLeft w:val="0"/>
          <w:marRight w:val="0"/>
          <w:marTop w:val="0"/>
          <w:marBottom w:val="0"/>
          <w:divBdr>
            <w:top w:val="none" w:sz="0" w:space="0" w:color="auto"/>
            <w:left w:val="none" w:sz="0" w:space="0" w:color="auto"/>
            <w:bottom w:val="none" w:sz="0" w:space="0" w:color="auto"/>
            <w:right w:val="none" w:sz="0" w:space="0" w:color="auto"/>
          </w:divBdr>
        </w:div>
      </w:divsChild>
    </w:div>
    <w:div w:id="1385712970">
      <w:bodyDiv w:val="1"/>
      <w:marLeft w:val="0"/>
      <w:marRight w:val="0"/>
      <w:marTop w:val="0"/>
      <w:marBottom w:val="0"/>
      <w:divBdr>
        <w:top w:val="none" w:sz="0" w:space="0" w:color="auto"/>
        <w:left w:val="none" w:sz="0" w:space="0" w:color="auto"/>
        <w:bottom w:val="none" w:sz="0" w:space="0" w:color="auto"/>
        <w:right w:val="none" w:sz="0" w:space="0" w:color="auto"/>
      </w:divBdr>
    </w:div>
    <w:div w:id="177126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helena.mitchell@cacp.gatech.ed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fcc.gov/ecfs/filing/10430247040772" TargetMode="External"/><Relationship Id="rId7" Type="http://schemas.openxmlformats.org/officeDocument/2006/relationships/hyperlink" Target="https://www.fcc.gov/ecfs/filing/10430247040772" TargetMode="External"/><Relationship Id="rId2" Type="http://schemas.openxmlformats.org/officeDocument/2006/relationships/hyperlink" Target="https://www.fcc.gov/ecfs/filing/104302566615471" TargetMode="External"/><Relationship Id="rId1" Type="http://schemas.openxmlformats.org/officeDocument/2006/relationships/hyperlink" Target="https://ecfsapi.fcc.gov/file/1022225667281/180221%20CTIA%20Hurricane%20Response%20PN%20Reply%20Comments%20FINAL.pdf" TargetMode="External"/><Relationship Id="rId6" Type="http://schemas.openxmlformats.org/officeDocument/2006/relationships/hyperlink" Target="https://www.fcc.gov/ecfs/filing/10430525524260" TargetMode="External"/><Relationship Id="rId5" Type="http://schemas.openxmlformats.org/officeDocument/2006/relationships/hyperlink" Target="https://www.communitycommons.org/2017/02/disability-in-rural-america/" TargetMode="External"/><Relationship Id="rId4" Type="http://schemas.openxmlformats.org/officeDocument/2006/relationships/hyperlink" Target="https://www.fcc.gov/ecfs/filing/104305255242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17F8F-C1EF-46B5-8B0D-A664332A5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7</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12400</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2019-05-20T17:35:00Z</dcterms:created>
  <dcterms:modified xsi:type="dcterms:W3CDTF">2019-05-20T18:14:00Z</dcterms:modified>
  <cp:category> </cp:category>
  <cp:contentStatus> </cp:contentStatus>
</cp:coreProperties>
</file>